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 prioritātes "Nodarbinātība un sociālā iekļaušana" 4.3.6. specifiskā atbalsta mērķa "Veicināt nabadzības vai sociālās atstumtības riskam pakļauto cilvēku, tostarp vistrūcīgāko un bērnu, sociālo integrāciju" 4.3.6.7. pasākumu  "Starpnozaru sadarbības un atbalsta sistēmas izveide bērnu veselīgai attīstībai un sekmīgai pašrealizācijai"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 sadalījumā pa atlases 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visaptveroša, integrēta, uz indivīda vajadzībām orientēta diagnostikas, profilakses aktivitāšu, konsultatīvo, agrīnās intervences un atbalsta pakalpojumu kopuma īstenošana bērnu attīstības vajadzību identificēšanai un savlaicīgam atbalstam.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kuru aizgādnībā vai aizbildnībā ir 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personas un ārstniecības atbalsta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iestāžu pedagogi un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un to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ierobežotas projektu iesniegumu atlases veidā divās iesniegumu atlases kārtās, katrā kārtā iesniedzot vienu projekta iesniegumu par tajā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 kuri saņēmuši atbalstu, – 2830;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273;</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nodarbinātās personas, tostarp pašnodarbinātās personas, kuras saņēmušas atbalstu, – 400;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 kuri saņēmuši atbalstu, – 4420;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836;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nodarbinātās personas, tostarp pašnodarbinātās personas, kuras saņēmušas atbalstu, – 3750;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bērni vecumā līdz 18 gadiem, kuri saņēmuši atbalstu, – 6900.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sasniedzams specifiskais rezultāta rādītājs: bērni ar attīstības grūtībām, nepietiekamībām vai to veidošanās risku, kuriem veicināta pozitīva attīstība un pašrealizācija, – 14 150 (kumulatīvais skaits).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finansējums ar elastības finansējumu ir 41 795 178 </w:t>
      </w:r>
      <w:r w:rsidR="00000000" w:rsidRPr="00000000" w:rsidDel="00000000">
        <w:rPr>
          <w:i w:val="1"/>
          <w:rtl w:val="0"/>
        </w:rPr>
        <w:t xml:space="preserve">euro</w:t>
      </w:r>
      <w:r w:rsidR="00000000" w:rsidRPr="00000000" w:rsidDel="00000000">
        <w:rPr>
          <w:rtl w:val="0"/>
        </w:rPr>
        <w:t xml:space="preserve">, ko veido Eiropas Sociālā fonda Plus finansējums 35 525 901 </w:t>
      </w:r>
      <w:r w:rsidR="00000000" w:rsidRPr="00000000" w:rsidDel="00000000">
        <w:rPr>
          <w:i w:val="1"/>
          <w:rtl w:val="0"/>
        </w:rPr>
        <w:t xml:space="preserve">euro </w:t>
      </w:r>
      <w:r w:rsidR="00000000" w:rsidRPr="00000000" w:rsidDel="00000000">
        <w:rPr>
          <w:rtl w:val="0"/>
        </w:rPr>
        <w:t xml:space="preserve">apmērā un valsts budžeta līdzfinansējums 6 269 277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kārtā pieejamais kopējais finansējums ir 22 479 928 </w:t>
      </w:r>
      <w:r w:rsidR="00000000" w:rsidRPr="00000000" w:rsidDel="00000000">
        <w:rPr>
          <w:i w:val="1"/>
          <w:rtl w:val="0"/>
        </w:rPr>
        <w:t xml:space="preserve">euro</w:t>
      </w:r>
      <w:r w:rsidR="00000000" w:rsidRPr="00000000" w:rsidDel="00000000">
        <w:rPr>
          <w:rtl w:val="0"/>
        </w:rPr>
        <w:t xml:space="preserve">, ko veido Eiropas Sociālā fonda Plus finansējums 19 107 939 </w:t>
      </w:r>
      <w:r w:rsidR="00000000" w:rsidRPr="00000000" w:rsidDel="00000000">
        <w:rPr>
          <w:i w:val="1"/>
          <w:rtl w:val="0"/>
        </w:rPr>
        <w:t xml:space="preserve">euro </w:t>
      </w:r>
      <w:r w:rsidR="00000000" w:rsidRPr="00000000" w:rsidDel="00000000">
        <w:rPr>
          <w:rtl w:val="0"/>
        </w:rPr>
        <w:t xml:space="preserve">apmērā un valsts budžeta līdzfinansējums 3 371 989 </w:t>
      </w:r>
      <w:r w:rsidR="00000000" w:rsidRPr="00000000" w:rsidDel="00000000">
        <w:rPr>
          <w:i w:val="1"/>
          <w:rtl w:val="0"/>
        </w:rPr>
        <w:t xml:space="preserve">euro </w:t>
      </w:r>
      <w:r w:rsidR="00000000" w:rsidRPr="00000000" w:rsidDel="00000000">
        <w:rPr>
          <w:rtl w:val="0"/>
        </w:rPr>
        <w:t xml:space="preserve">apmērā, tai skaitā līdz 2025. gada 31. decembrim pieejamais finansējums, lai slēgtu vienošanos par projekta īstenošanu, ir 19 547 763 </w:t>
      </w:r>
      <w:r w:rsidR="00000000" w:rsidRPr="00000000" w:rsidDel="00000000">
        <w:rPr>
          <w:i w:val="1"/>
          <w:rtl w:val="0"/>
        </w:rPr>
        <w:t xml:space="preserve">euro</w:t>
      </w:r>
      <w:r w:rsidR="00000000" w:rsidRPr="00000000" w:rsidDel="00000000">
        <w:rPr>
          <w:rtl w:val="0"/>
        </w:rPr>
        <w:t xml:space="preserve">, ko veido Eiropas Sociālā fonda Plus finansējums 16 615 598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un valsts budžeta finansējums 2 932 165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kārtā pieejamais kopējais finansējums ir 19 315 250 </w:t>
      </w:r>
      <w:r w:rsidR="00000000" w:rsidRPr="00000000" w:rsidDel="00000000">
        <w:rPr>
          <w:i w:val="1"/>
          <w:rtl w:val="0"/>
        </w:rPr>
        <w:t xml:space="preserve">euro</w:t>
      </w:r>
      <w:r w:rsidR="00000000" w:rsidRPr="00000000" w:rsidDel="00000000">
        <w:rPr>
          <w:rtl w:val="0"/>
        </w:rPr>
        <w:t xml:space="preserve">, ko veido Eiropas Sociālā fonda Plus finansējums 16 417 962 </w:t>
      </w:r>
      <w:r w:rsidR="00000000" w:rsidRPr="00000000" w:rsidDel="00000000">
        <w:rPr>
          <w:i w:val="1"/>
          <w:rtl w:val="0"/>
        </w:rPr>
        <w:t xml:space="preserve">euro </w:t>
      </w:r>
      <w:r w:rsidR="00000000" w:rsidRPr="00000000" w:rsidDel="00000000">
        <w:rPr>
          <w:rtl w:val="0"/>
        </w:rPr>
        <w:t xml:space="preserve">apmērā un valsts budžeta līdzfinansējums 2 897 288 </w:t>
      </w:r>
      <w:r w:rsidR="00000000" w:rsidRPr="00000000" w:rsidDel="00000000">
        <w:rPr>
          <w:i w:val="1"/>
          <w:rtl w:val="0"/>
        </w:rPr>
        <w:t xml:space="preserve">euro</w:t>
      </w:r>
      <w:r w:rsidR="00000000" w:rsidRPr="00000000" w:rsidDel="00000000">
        <w:rPr>
          <w:rtl w:val="0"/>
        </w:rPr>
        <w:t xml:space="preserve"> apmērā, tai skaitā līdz 2025. gada 31. decembrim pieejamais finansējums, lai slēgtu vienošanos par projekta īstenošanu, ir 16 795 870 </w:t>
      </w:r>
      <w:r w:rsidR="00000000" w:rsidRPr="00000000" w:rsidDel="00000000">
        <w:rPr>
          <w:i w:val="1"/>
          <w:rtl w:val="0"/>
        </w:rPr>
        <w:t xml:space="preserve">euro</w:t>
      </w:r>
      <w:r w:rsidR="00000000" w:rsidRPr="00000000" w:rsidDel="00000000">
        <w:rPr>
          <w:rtl w:val="0"/>
        </w:rPr>
        <w:t xml:space="preserve">, ko veido Eiropas Sociālā fonda Plus finansējums 14 276 490 </w:t>
      </w:r>
      <w:r w:rsidR="00000000" w:rsidRPr="00000000" w:rsidDel="00000000">
        <w:rPr>
          <w:i w:val="1"/>
          <w:rtl w:val="0"/>
        </w:rPr>
        <w:t xml:space="preserve">euro </w:t>
      </w:r>
      <w:r w:rsidR="00000000" w:rsidRPr="00000000" w:rsidDel="00000000">
        <w:rPr>
          <w:rtl w:val="0"/>
        </w:rPr>
        <w:t xml:space="preserve">apmērā un valsts budžeta finansējums 2 519 380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atbildīgā iestāde no 2026. gada 1. janvāra pēc Eiropas Komisijas lēmuma par vidusposma pārskatu pieņemšanas var ierosināt palielināt par projekta īstenošanu noslēgtās vienošanās kopsummu līdz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minētajam kopējam kārtā pieejamam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ir 85 procenti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Valsts kanceleja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kancelejas Politikas koordinācijas departaments.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projekta īstenošanai var piesaistīt sadarbības partnerus – nozaru ministrijas, kuru politika ir saistīta ar pasākuma mērķa sasniegšanu (piemēram, Izglītības un zinātnes ministriju, Veselības ministriju, Labklājības ministriju), vai to padotības iestādes, pašvaldības, kā arī nevalstiskās organizācijas, kuru darbības joma ir saistīta ar pasākuma mērķa grupu interešu pārstāvniecību.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partneri nodrošina metodisko atbalstu un piedalās pasākuma uzraudzībā tā kvalitatīvai īstenošanai, kā arī var tikt piesaistīti konkrētu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partnerim var tikt piešķirts finansējums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ar sadarbības partneri slēdz attiecīgi sadarbības līgumu vai vienošanos par sadarbību (turpmāk – sadarbības līgums) atbilstoši normatīvajiem aktiem par kārtību, kādā Eiropas Savienības fondu vadībā iesaistītās institūcijas nodrošina Eiropas Savienības fondu ieviešanu 2021.–2027. gada plānošanas periodā. Sadarbības līgums nosaka savstarpējo atbildību, funkcijas, finansēšanas mehānismu, pārskatu sniegšanas kārtību un pienākumus projekta sekmīgai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dienu sadarbības līgums nav noslēgts,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norēķini ar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konstatējusi Centrālā finanšu un līgumu aģentūra (turpmāk – sadarbības iestāde), un iespējami neatbilstoši veiktos izdevumus, kurus konstatējis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arī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finansējuma saņēmējam un sadarbības partnerim ir atbalstāmas šādas darbības, kas veido agrīnā preventīvā atbalsta pakalpojumu sistēmu bērnu attīstības vajadzību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pierādījumos balstītu profilakses un agrīnās intervences programmu bērnu psihoemocionālās un psihosociālās attīstības vajadzību atbalstam licences iegāde, metodiku izstrāde, adaptēšana, aprobēšana un metodiskā vadība ieviešanai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attīstības vajadzību novērtējuma instrumentu sistēmas izveide un pilotēšana;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apmācības, praktiskie treniņi un supervīzijas pedagogiem un citiem darbā ar bērniem iesaistītajiem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agrīnu intervenču pilotēšana un īstenošana bērniem ar psihomotoriem un psihosociāliem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agrīnu intervenču pilotēšana un īstenošana ģimenēm ar agrīnas piesaistes veidošanās riskiem vai zemām vecāku pamatprasmēm;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agrīnu intervenču pilotēšana un īstenošana vecāku un bērnu mijiedarbības stiprināšanai, hiperaktivitātes mazināšanai un uzmanības noturības veicināšanai bērniem;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agrīnu intervenču pilotēšana un īstenošana bērnu psihoemocionālās un psihosociālās attīstības vajadzību atbalstam, stiprinot bērnu iekļaušanu izglītības vidē un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agrīnu intervenču pilotēšana un īstenošana mācīšanās grūtību, valodas vai runas attīstības vajadzību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multimodālu programmu pilotēšana un īstenošana bērnu attīstības un uzvedības traucējumu veidošanās risku mazināšanai;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profilakses un agrīnās intervences pilotēšana un īstenošana zināšanu, prasmju un iemaņu korekcijai pāridarījuma risku mazināšanai izglītības vidē un bērniem ar sociālemocionālām grūtībām, trauksmi, distresu;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izvērtējumi un pētījumi problēmu izplatības noteikšanai, atbalsta pasākumu plānošanai un intervences efektivitātei;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aktivitātes vecāku un speciālistu motivēšanai un informēšanai, kapacitātes stiprināšanas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izvērtējumu, pētījumu, ekspertīžu un analīzes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informatīvie un izglītojošie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 papildu darbu vai pakalpojumu veikšanai, kas neparedzamu apstākļu dēļ ir kļuvušas nepieciešamas, lai nodrošinātu par projekta īstenošanu noslēgto līgumu izpildi, ja finansējuma saņēmējs veicis visus plānošanas pasākumus, lai šādus apstākļus novērstu.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atlīdzības izmaksas (izņemot virsstundas) šo noteikumu </w:t>
      </w:r>
      <w:r w:rsidR="00000000" w:rsidRPr="00000000" w:rsidDel="00000000">
        <w:rPr>
          <w:rtl w:val="0"/>
        </w:rPr>
        <w:t xml:space="preserve">17.17.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Finanšu ministriju (turpmāk – vadošā iestāde). Līdz metodikas apstiprināšanai tiek piemērota personāla izmaksu vienotā likme 20 procentu apmērā no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projekta īstenošanas personāla atlīdzības izmaksas (izņemot virsstundas) šo noteikumu </w:t>
      </w:r>
      <w:r w:rsidR="00000000" w:rsidRPr="00000000" w:rsidDel="00000000">
        <w:rPr>
          <w:rtl w:val="0"/>
        </w:rPr>
        <w:t xml:space="preserve">17.17.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vadošo iestādi. Līdz metodikas apstiprināšanai tiek piemērota personāla izmaksu vienotā likme 20 procentu apmērā no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licenču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aprobēšanas un lokalizācijas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izvērtējumu un pētījumu veikšanas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standartizācijas un validācijas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pilotēšanas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supervīzijas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ārvalstu komandējumu izmaksas projekta vadītājam un īstenošanas personālam un iekšzemes komandējumu un darba braucienu izmaksas, kā arī mācību maksa atbilstoši normatīvajiem aktiem par kārtību, kādā atlīdzināmi ar komandējumiem saistītie izdevumi.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Ja projekta vadības un īstenošanas personāls, tai skaitā sadarbības partnera personāls, ir nodarbināts nepilnu darba laiku vai daļlaiku, darba vietas aprīkojuma izmaksas ir attiecināmas proporcionāli atlīdzības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Eiropas Savienības fondu ieviešanu 2021.–2027. gada plānošanas periodā un Eiropas Savienības fondu 2021.–2027. gada plānošanas perioda un Atveseļošanas fonda komunikācijas un dizaina vadlīnijām šo noteikumu </w:t>
      </w:r>
      <w:r w:rsidR="00000000" w:rsidRPr="00000000" w:rsidDel="00000000">
        <w:rPr>
          <w:rtl w:val="0"/>
        </w:rPr>
        <w:t xml:space="preserve">17.16.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17.15.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redzes korekcijas līdzekļu kompensācija, veselības apdrošināšana projekta vadības un projekta īstenošanas personālam, tai skaitā sadarbības partnera personālam, ja veselības apdrošināšana paredzēta finansējuma saņēmēja un sadarbības partnera iestādē. Ja projekta vadības un projekta īstenošanas personāls, tai skaitā sadarbības partnera personāls, ir nodarbināts normālu darba laiku, veselības apdrošināšanas izmaksas ir attiecināmas 100 procentu apmērā. Ja projekta vadības un projekta īstenošanas personāls, tai skaitā sadarbības partnera personāls, ir nodarbināts nepilnu darba laiku, veselības apdrošināšanas izmaksas nosakāmas atbilstoši nepilnā darba laika noslodzei. Ja projekta vadības un projekta īstenošanas personāla, tai skaitā sadarbības partnera personāla, atlīdzībai piemēro daļlaika attiecināmības principu, veselības apdrošināšanas izmaksas nosakāmas proporcionāli atlīdzības procentuālajam sadalījumam. Veselības apdrošināšanas izmaksas ir attiecināmas tikai uz laiku, kad projekta vadības un projekta īstenošanas personāls, tai skaitā sadarbības partnera personāls, ir nodarbināts projektā šo noteikumu </w:t>
      </w:r>
      <w:r w:rsidR="00000000" w:rsidRPr="00000000" w:rsidDel="00000000">
        <w:rPr>
          <w:rtl w:val="0"/>
        </w:rPr>
        <w:t xml:space="preserve">17.17.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neparedzētās izmaksas projektā plāno kā vienu izdevumu pozīciju. Neparedzētās izmaksas nepārsniedz divus procentus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minētajām tiešajām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vadības un projekta īstenošanas personāls organizācijā veic pienākumus, kas saistīti ne tikai ar projektu, bet arī ar konkrētās organizācijas pamatdarbību vai citu finanšu instrumentu administrēšanu, tad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no Eiropas Sociālā fonda Plus ir tiešās attiecināmās izmaksas, ja darbinieks projektā nodarbināts vismaz 30 procentus no kopējās noslodzes.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saņēmējam projekta izmaksas ir attiecināmas no 2023.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19.2.1. </w:t>
      </w:r>
      <w:r w:rsidR="00000000" w:rsidRPr="00000000" w:rsidDel="00000000">
        <w:rPr>
          <w:rtl w:val="0"/>
        </w:rPr>
        <w:t xml:space="preserve">apakšpunktā</w:t>
      </w:r>
      <w:r w:rsidR="00000000" w:rsidRPr="00000000" w:rsidDel="00000000">
        <w:rPr>
          <w:rtl w:val="0"/>
        </w:rPr>
        <w:t xml:space="preserve">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regulas Nr. 2021/1060 47. un 50. pantu un normatīvajiem aktiem par Eiropas Savienības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visas preces un pakalpojumi tiks iepirkti, ievērojot publiskā iepirkuma procedūru regulējošos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vispārīgās un specifiskās darbības, kas veicina vienlīdzību, iekļaušanu, nediskrimināciju un pamattiesību ievērošanu, kā arī rādītāju uzkrāšanu un ziņošanu;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uzkrāšanu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iznākuma rādītāju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mērķa, tā iznākuma rādītāju vai rezultātu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23-TA-1102</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23-TA-1102</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noteikumu_projekts_23-TA-1102.docx</dc:title>
</cp:coreProperties>
</file>

<file path=docProps/custom.xml><?xml version="1.0" encoding="utf-8"?>
<Properties xmlns="http://schemas.openxmlformats.org/officeDocument/2006/custom-properties" xmlns:vt="http://schemas.openxmlformats.org/officeDocument/2006/docPropsVTypes"/>
</file>