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26. augustā (prot. Nr. 33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11. jūnija noteikumos Nr. 246 "Kārtība, kādā maksātnespējas procesa administratori un tiesiskās aizsardzības procesa uzraugošās personas kārto lietvedību"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Maksātnespējas likuma</w:t>
      </w:r>
      <w:r w:rsidR="00000000" w:rsidRPr="00000000" w:rsidDel="00000000">
        <w:rPr>
          <w:rStyle w:val="paragraph"/>
          <w:i w:val="1"/>
          <w:rtl w:val="0"/>
        </w:rPr>
        <w:t xml:space="preserve"> 12.</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otro daļu,</w:t>
      </w:r>
      <w:r>
        <w:br/>
      </w:r>
      <w:r w:rsidR="00000000" w:rsidRPr="00000000" w:rsidDel="00000000">
        <w:rPr>
          <w:rStyle w:val="paragraph"/>
          <w:i w:val="1"/>
          <w:rtl w:val="0"/>
        </w:rPr>
        <w:t xml:space="preserve">12.</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ceturto daļu, 26. panta septīto daļu</w:t>
      </w:r>
      <w:r>
        <w:br/>
      </w:r>
      <w:r w:rsidR="00000000" w:rsidRPr="00000000" w:rsidDel="00000000">
        <w:rPr>
          <w:rStyle w:val="paragraph"/>
          <w:i w:val="1"/>
          <w:rtl w:val="0"/>
        </w:rPr>
        <w:t xml:space="preserve">un 26.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11. jūnija noteikumos Nr. 246 "Kārtība, kādā maksātnespējas procesa administratori un tiesiskās aizsardzības procesa uzraugošās personas kārto lietvedību" (Latvijas Vēstnesis, 2019, 119.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Administratoram ir tiesības reģistrēt sistēmā dokumentus, kas saistīti ar noziedzīgi iegūtu līdzekļu legalizācijas, terorisma un proliferācijas finansēšanas novēršanas un starptautisko un nacionālo sankciju prasību izpildes nodrošināšanas risku novērtējumu un ar iekšējās kontroles sistēmu, kā arī dokumentus saistībā ar klienta izpēti un tā darījumu uzraudzību."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administrators izmanto šo noteikumu 2.</w:t>
      </w:r>
      <w:r w:rsidR="00000000" w:rsidRPr="00000000" w:rsidDel="00000000">
        <w:rPr>
          <w:vertAlign w:val="superscript"/>
          <w:rtl w:val="0"/>
        </w:rPr>
        <w:t xml:space="preserve">1</w:t>
      </w:r>
      <w:r w:rsidR="00000000" w:rsidRPr="00000000" w:rsidDel="00000000">
        <w:rPr>
          <w:rtl w:val="0"/>
        </w:rPr>
        <w:t xml:space="preserve"> punktā paredzētās tiesības, viņam ir pienākums reģistrēt sistēmā visus ar noziedzīgi iegūtu līdzekļu legalizācijas, terorisma un proliferācijas finansēšanas novēršanu, kā arī ar starptautisko un nacionālo sankciju prasību izpildes nodrošināšanu saistītos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Administrators un uzraugošā persona saņemtos un nosūtāmos dokumentus (nosūtot vai saņemot pa pastu, elektroniskā veidā vai tiešsaistes datu pārraides režīmā vai izsniedzot vai saņemot klātienē) reģistrē un pievieno lietai nekavējoties, bet ne vēlāk kā piecu darbdienu laikā pēc dokumenta saņemšanas vai nosūtīšanas. Ja dokuments saņemts pa pastu, dokumentam pievieno aploksni, kurā dokuments saņemts."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Administrators un uzraugošā persona atbilstoši šo noteikumu 19. punktam sistēmā ievada ziņas par spēkā esošo civiltiesiskās atbildības apdrošināšanas polisi un pievieno minētā dokumenta datni neatkarīgi no tā, kādā formā ir izsniegta apdrošināšanas polise."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27.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28.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29.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Sistēmā pieejamās administratora un uzraugošās personas lietvedībā esošās dokumentu datnes un ziņas par dokumentiem, kas saistīti ar konkrētu maksātnespējas vai tiesiskās aizsardzības procesu un administratora vai uzraugošās personas profesionālo darbību, glabā  atbilstoši Ministru kabineta noteikumiem, kas regulē sistēmas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Administratora un uzraugošās personas lietvedībā esošos papīra formas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kas saistīti ar konkrētu maksātnespējas procesu vai tiesiskās aizsardzības procesu, glabā piecus gadus no dienas, kad pieņemts tiesas nolēmums par attiecīgā maksātnespējas procesa vai tiesiskās aizsardzības procesa izbeigšanu;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kas saistīti ar administratora un uzraugošās personas profesionālo darbību, glabā piecus gadus no dienas, kad izbeigta administratora amata darbība, vai piecus gadus pēc uzraugošās personas pienākumu izbeigšanās."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Pēc šo noteikumu 31. punktā minētā lietas glabāšanas termiņa notecējuma administrators un uzraugošā persona sagatavo papīra formas dokumentu iznīcināšanas aktu un lietvedībā esošos papīra formas dokumentus iznīcina."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Noteikumu 2.</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un 2.</w:t>
      </w:r>
      <w:r w:rsidR="00000000" w:rsidRPr="00000000" w:rsidDel="00000000">
        <w:rPr>
          <w:vertAlign w:val="superscript"/>
          <w:rtl w:val="0"/>
        </w:rPr>
        <w:t xml:space="preserve">2</w:t>
      </w:r>
      <w:r w:rsidR="00000000" w:rsidRPr="00000000" w:rsidDel="00000000">
        <w:rPr>
          <w:rtl w:val="0"/>
        </w:rPr>
        <w:t xml:space="preserve"> punktu piemēro maksātnespējas procesiem, kas pasludināti pēc šo grozījumu spēkā stāšanās."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24-TA-2232</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24-TA-2232</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noteikumu_(grozījumu)_projekts_24-TA-2232.docx</dc:title>
</cp:coreProperties>
</file>

<file path=docProps/custom.xml><?xml version="1.0" encoding="utf-8"?>
<Properties xmlns="http://schemas.openxmlformats.org/officeDocument/2006/custom-properties" xmlns:vt="http://schemas.openxmlformats.org/officeDocument/2006/docPropsVTypes"/>
</file>