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20. februāra noteikumos Nr. 95 "Noteikumi par valsts palīdzību dzīvojamās telpas iegādei vai būvniecībai" (Latvijas Vēstnesis, 2018, 38. nr.; 2020, 123A., 229. nr.; 2022, 218A. nr.;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Aizņēmējam (vienam vai vairākiem solidāri) atbilstoši šiem noteikumiem ir tiesības saņemt garantiju atkārtoti, ja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Ja tiek veikta aizdevuma pārkreditēšana, garantija un atbalsta programmas "Balsts" subsīdija paliek spēkā atbilstoši sadarbības līguma nosacījumiem.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23-TA-3318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23-TA-3318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noteikumu_(grozījumu)_projekts_23-TA-3318.docx</dc:title>
</cp:coreProperties>
</file>

<file path=docProps/custom.xml><?xml version="1.0" encoding="utf-8"?>
<Properties xmlns="http://schemas.openxmlformats.org/officeDocument/2006/custom-properties" xmlns:vt="http://schemas.openxmlformats.org/officeDocument/2006/docPropsVTypes"/>
</file>