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augustā (prot. Nr. 33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Plāns romu stratēģiskā ietvara pasākumu īstenošanai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romu stratēģiskā ietvara pasākumu īstenošanai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Kultūras ministriju par atbildīgo institūciju plāna īstenošanā, bet Ekonomikas ministriju, Izglītības un zinātnes ministriju, Labklājības ministriju, Veselības ministriju un Sabiedrības integrācijas fondu – par līdzatbildīgajām institūcijām.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Ja budžeta likumprojekta sagatavošanas procesā papildu finansējuma piešķiršana netiek atbalstīta, plānā paredzēto pasākumu īstenošana nodrošināma atbilstoši iesaistīto institūciju rīcībā esošajam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sagatavot un kultūras ministram līdz 2028. gada 30. oktobrim iesniegt noteiktā kārtībā Ministru kabinetā informatīvo ziņojumu par plāna izpildi un plāna ietekmes izvērtējumu.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24-TA-487</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24-TA-487</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rīkojuma_projekts_24-TA-487.docx</dc:title>
</cp:coreProperties>
</file>

<file path=docProps/custom.xml><?xml version="1.0" encoding="utf-8"?>
<Properties xmlns="http://schemas.openxmlformats.org/officeDocument/2006/custom-properties" xmlns:vt="http://schemas.openxmlformats.org/officeDocument/2006/docPropsVTypes"/>
</file>