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24. oktobrī (prot. Nr. 53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otro daļu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w:t>
      </w:r>
      <w:r w:rsidR="00000000" w:rsidRPr="00000000" w:rsidDel="00000000">
        <w:rPr>
          <w:rStyle w:val="paragraph"/>
          <w:i w:val="1"/>
          <w:shd w:fill="rgb(224, 255, 255)" w:val="clear"/>
          <w:rtl w:val="0"/>
        </w:rPr>
        <w:t xml:space="preserve"> </w:t>
      </w:r>
      <w:r w:rsidR="00000000" w:rsidRPr="00000000" w:rsidDel="00000000">
        <w:rPr>
          <w:rStyle w:val="paragraph"/>
          <w:i w:val="1"/>
          <w:rtl w:val="0"/>
        </w:rPr>
        <w:t xml:space="preserve">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(Latvijas Vēstnesis, 2022, 132.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Investīcijas mērķis ir veicināt komersantu digitālo transformāciju, komersantu attīstību un apgrozījuma apjoma pieaugumu, atbalstot uz produktivitātes pieaugumu vērstus ieguldījumus uzņēmējdarbības digitālās transformācijas rīkos un automatizācijā, kā arī jaunu produktu un digitālo tehnoloģiju un risinājumu izstrādē."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 uzskatāma par stratēģiski svarīgu projektu saskaņā ar Eiropas Parlamenta un Padomes 2021. gada 12. februāra Regulu (ES) Nr. 2021/241, ar ko izveido Atveseļošanas un noturības mehānismu."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Rīgas kopējās statistiski teritoriālo vienību klasifikācijas (turpmāk – NUTS) 3. līmeņa reģionā (atbilstoši 2021. gada datiem) – 30 % lielajiem komersantiem, 40 % vidējiem komersantiem vai 50 % sīkajiem (mikro) vai mazajiem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Kurzemes, Zemgales, Vidzemes un Latgales NUTS 3. līmeņa reģionā (atbilstoši 2021. gada datiem) – 50 % lielajiem komersantiem, 60 % vidējiem komersantiem vai 70 % sīkajiem (mikro) vai mazajiem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administratīvajām teritorijām Pierīgas NUTS 3. līmeņa reģionā (atbilstoši 2021. gada datiem), tai skaitā Limbažu novadā, Ogres novadā, Saulkrastu novadā un Tukuma novadā, – 30 % lielajiem komersantiem, 40 % vidējiem komersantiem vai 50 % sīkajiem (mikro) vai mazajiem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atbalsts tiek sniegts saskaņā ar šo noteikumu 22. punktu, atbilstoši Komisijas regulas Nr. 651/2014 14. panta 13. punktam ikvienu sākotnējo ieguldījumu, kurš attiecās uz to pašu vai līdzīgu darbību atbilstoši Komisijas regulas Nr. 651/2014 2. panta 50. punktā noteiktajai definīcijai un kuru tas pats saņēmējs (grupas līmenī) ir sācis triju gadu laikā no dienas, kad sākti darbi pie cita atbalstītā ieguldījuma tajā pašā NUTS 3. līmeņa</w:t>
      </w:r>
      <w:r w:rsidR="00000000" w:rsidRPr="00000000" w:rsidDel="00000000">
        <w:rPr>
          <w:b w:val="1"/>
          <w:rtl w:val="0"/>
        </w:rPr>
        <w:t xml:space="preserve"> </w:t>
      </w:r>
      <w:r w:rsidR="00000000" w:rsidRPr="00000000" w:rsidDel="00000000">
        <w:rPr>
          <w:rtl w:val="0"/>
        </w:rPr>
        <w:t xml:space="preserve">reģionā (atbilstoši 2021. gada datiem), uzskata par daļu no vienota ieguldījumu projekta. Vienotam ieguldījumu projektam, kas ir lielu ieguldījumu projekts, un lielu ieguldījumu projektam, kas nav vienotais ieguldījumu projekts, saskaņā ar Komisijas regulas Nr. 651/2014 2. panta 52. punktu (neatkarīgi no tā, vai ieguldījumus veic mazs, vidējs vai liels komersants) atbalstu piešķir,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Rīgā: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36.1.1. projektam līdz 55 miljoniem </w:t>
      </w:r>
      <w:r w:rsidR="00000000" w:rsidRPr="00000000" w:rsidDel="00000000">
        <w:rPr>
          <w:i w:val="1"/>
          <w:rtl w:val="0"/>
        </w:rPr>
        <w:t xml:space="preserve">euro </w:t>
      </w:r>
      <w:r w:rsidR="00000000" w:rsidRPr="00000000" w:rsidDel="00000000">
        <w:rPr>
          <w:rtl w:val="0"/>
        </w:rPr>
        <w:t xml:space="preserve">piemēro 30 %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36.1.2. projekta daļai no 55 līdz 110 miljoniem </w:t>
      </w:r>
      <w:r w:rsidR="00000000" w:rsidRPr="00000000" w:rsidDel="00000000">
        <w:rPr>
          <w:i w:val="1"/>
          <w:rtl w:val="0"/>
        </w:rPr>
        <w:t xml:space="preserve">euro </w:t>
      </w:r>
      <w:r w:rsidR="00000000" w:rsidRPr="00000000" w:rsidDel="00000000">
        <w:rPr>
          <w:rtl w:val="0"/>
        </w:rPr>
        <w:t xml:space="preserve">piemēro 15 %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 projekta daļai, kas pārsniedz 110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Kurzemes, Zemgales, Vidzemes un Latgales NUTS 3. līmeņa reģionā (atbilstoši 2021. gada datiem):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36.2.1. projektam līdz 55 miljoniem </w:t>
      </w:r>
      <w:r w:rsidR="00000000" w:rsidRPr="00000000" w:rsidDel="00000000">
        <w:rPr>
          <w:i w:val="1"/>
          <w:rtl w:val="0"/>
        </w:rPr>
        <w:t xml:space="preserve">euro </w:t>
      </w:r>
      <w:r w:rsidR="00000000" w:rsidRPr="00000000" w:rsidDel="00000000">
        <w:rPr>
          <w:rtl w:val="0"/>
        </w:rPr>
        <w:t xml:space="preserve">piemēro 50 %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36.2.2. projekta daļai no 55 līdz 110 miljoniem </w:t>
      </w:r>
      <w:r w:rsidR="00000000" w:rsidRPr="00000000" w:rsidDel="00000000">
        <w:rPr>
          <w:i w:val="1"/>
          <w:rtl w:val="0"/>
        </w:rPr>
        <w:t xml:space="preserve">euro </w:t>
      </w:r>
      <w:r w:rsidR="00000000" w:rsidRPr="00000000" w:rsidDel="00000000">
        <w:rPr>
          <w:rtl w:val="0"/>
        </w:rPr>
        <w:t xml:space="preserve">piemēro 25 %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36.2.3. projekta daļai, kas pārsniedz 110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administratīvajām teritorijām Pierīgas reģionā (tai skaitā Limbažu novadā, Ogres novadā, Saulkrastu novadā un Tukuma novadā):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36.3.1. projektam līdz 55 miljoniem </w:t>
      </w:r>
      <w:r w:rsidR="00000000" w:rsidRPr="00000000" w:rsidDel="00000000">
        <w:rPr>
          <w:i w:val="1"/>
          <w:rtl w:val="0"/>
        </w:rPr>
        <w:t xml:space="preserve">euro</w:t>
      </w:r>
      <w:r w:rsidR="00000000" w:rsidRPr="00000000" w:rsidDel="00000000">
        <w:rPr>
          <w:rtl w:val="0"/>
        </w:rPr>
        <w:t xml:space="preserve"> piemēro 30 %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36.3.2. projekta daļai no 55 līdz 110 miljoniem </w:t>
      </w:r>
      <w:r w:rsidR="00000000" w:rsidRPr="00000000" w:rsidDel="00000000">
        <w:rPr>
          <w:i w:val="1"/>
          <w:rtl w:val="0"/>
        </w:rPr>
        <w:t xml:space="preserve">euro</w:t>
      </w:r>
      <w:r w:rsidR="00000000" w:rsidRPr="00000000" w:rsidDel="00000000">
        <w:rPr>
          <w:rtl w:val="0"/>
        </w:rPr>
        <w:t xml:space="preserve"> piemēro 15 %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36.3.3. projekta daļai, kas pārsniedz 110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atbalstu sniedz saskaņā ar šo noteikumu 22. punktu un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vienā vai vairākos dažādas atbalsta intensitātes NUTS 3. līmeņa reģionos (atbilstoši 2021. gada datiem), visam projektam piemēro zemāko atbalsta intensitāti starp atbalsta intensitātes NUTS 3. līmeņa reģioniem (atbilstoši 2021. gada datiem), kuros komersants gūst labumu no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komersants ievēro nosacījumus atbilstoši Komisijas regulas Nr. 651/2014 14. panta 7.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 uz komersantu nav attiecināms neviens no šiem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labumu pieprasīšana, pieņemšana vai došana, tirgošanās ar ietekmi;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39.6.1.3. krāpšana, piesavināšanās vai noziedzīgi iegūtu līdzekļu legalizēšana;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39.6.1.4. izvairīšanās no nodokļu un tiem pielīdzināto maksājumu nomaksas;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39.6.1.6. cilvēku 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39.6.1.7. tādu preču un vielu pārvietošana pāri Latvijas Republikas valsts robežai, kuru aprite ir aizliegta vai speciāli reglamentēta;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39.6.1.8. neatļauta piedalīšanās mantiskos 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 komersants vai persona, kura ir komersanta valdes vai padomes loceklis vai prokūrists, vai persona, kura ir pilnvarota pārstāvēt komersantu ar filiāli saistītās darbībās, ar tādu attiecīgā jomā kompetentas institūcijas lēmumu, prokurora priekšrakstu par sodu vai tiesas spriedumu, kas stājies spēkā un kļuvis neapstrīdams un nepārsūdzams, ir atzīta par vainīgu un sodīta par pārkāpumu, kas izpaužas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39.6.2.1. 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39.6.2.2. personas nodarbināšana bez rakstveidā noslēgta darba līguma;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39.6.3. komersants vai persona, kura ir komersanta valdes vai padomes loceklis vai prokūrists, vai persona, kura ir pilnvarota pārstāvēt komersantu ar filiāli saistītās darbībās, ar tādu attiecīgā jomā kompetentas institūcijas lēmumu vai tiesas spriedumu, kas stājies spēkā un kļuvis neapstrīdams un nepārsūdzams, ir atzīta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komersantu ir atbrīvojusi no naudas soda vai naudas sodu samazinājusi;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39.6.4. tiek apturēta vai pārtraukta komersanta saimnieciskā darbība vai komersants tiek likvidēts;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39.6.5. komersants ar tādu attiecīgā jomā kompetentas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 tiesas spriedums, prokurora priekšraksts par sodu vai citas kompetentas institūcijas pieņemtais lēmums saistībā ar šo noteikumu 39.6.1. vai 39.6.2.1. apakšpunktā minētajiem pārkāpumiem, līdz aizdevuma pieteikuma iesniegšanas dienai ir pagājuši trīs gadi;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 tiesas spriedums vai citas attiecīgā jomā kompetentas institūcijas pieņemtais lēmums saistībā ar šo noteikumu 39.6.2.2. vai 39.6.3. apakšpunktā minētajiem pārkāpumiem, līdz aizdevuma pieteikuma iesniegšanas dienai ir pagājuši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Sabiedrība "Altum" par šo noteikumu 39.6.1., 39.6.2. un 39.6.3. apakšpunktā noteiktajiem gadījumiem ziņas iegūst no Iekšlietu ministrijas Informācijas centra pārziņā esošās valsts informācijas sistēmas "Sodu reģistrs". Informāciju par šo noteikumu 39.6.3. apakšpunktā noteikto izņēmuma gadījumu, kad attiecīgā institūcija, konstatējot konkurences tiesību pārkāpumu, par sadarbību iecietības programmas ietvaros komersantu ir atbrīvojusi no naudas soda vai naudas sodu samazinājusi, sabiedrība "Altum" iegūst no Konkurences padomes."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nemateriālie aktīvi atbilst Komisijas regulas Nr. 651/2014 14. panta 8. punktā minētajiem nosacījumiem. Lielajiem komersantiem nemateriālos aktīvus var finansēt līdz 50 % no sākotnējo ieguldījumu kopējām attiecināmajām ieguldījumu izmaksām. Sīkajiem (mikro), mazajiem vai vidējiem komersantiem nemateriālos aktīvus var finansēt 100 %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"42.6. pievienotās vērtības nodokļa segšana. Pievienotās vērtības nodokļa izmaksas neiekļauj arī investīciju projekta kopējās izmaksās;".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sākotnējie ieguldījumi pēc projekta pabeigšanas paliek Latvijā attiecīgajā atbalsta intensitātes NUTS 3. līmeņa reģionā (atbilstoši 2021. gada datiem), kurā tiek īstenots atbalstāmais projekts, vai paliek Latvijā jebkurā reģionā, ja atbalsts tiek piešķirts, ņemot vērā šo noteikumu 37.2. apakšpunktu, vismaz piecus gadus (lielajiem komersantiem) vai trīs gadus (sīkajiem (mikro), mazajiem vai vidējiem komersantiem) atbilstoši Komisijas regulas Nr. 651/2014 14. panta 5.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Ja tiek pārkāpti Komisijas regulas Nr. 651/2014 nosacījumi, komersantam ir pienākums atmaksāt sabiedrībai "Altum"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sabiedrība "Altum" aizdevumu vai paralēlo aizdevumu nepiešķir Komisijas regulas Nr. 1407/2013 1. pantā noteiktajām nozarēm un darbībām, kā arī šo noteikumu 62.</w:t>
      </w:r>
      <w:r w:rsidR="00000000" w:rsidRPr="00000000" w:rsidDel="00000000">
        <w:rPr>
          <w:vertAlign w:val="superscript"/>
          <w:rtl w:val="0"/>
        </w:rPr>
        <w:t xml:space="preserve">1</w:t>
      </w:r>
      <w:r w:rsidR="00000000" w:rsidRPr="00000000" w:rsidDel="00000000">
        <w:rPr>
          <w:rtl w:val="0"/>
        </w:rPr>
        <w:t xml:space="preserve">1., 62.</w:t>
      </w:r>
      <w:r w:rsidR="00000000" w:rsidRPr="00000000" w:rsidDel="00000000">
        <w:rPr>
          <w:vertAlign w:val="superscript"/>
          <w:rtl w:val="0"/>
        </w:rPr>
        <w:t xml:space="preserve">1</w:t>
      </w:r>
      <w:r w:rsidR="00000000" w:rsidRPr="00000000" w:rsidDel="00000000">
        <w:rPr>
          <w:rtl w:val="0"/>
        </w:rPr>
        <w:t xml:space="preserve">2., 62.</w:t>
      </w:r>
      <w:r w:rsidR="00000000" w:rsidRPr="00000000" w:rsidDel="00000000">
        <w:rPr>
          <w:vertAlign w:val="superscript"/>
          <w:rtl w:val="0"/>
        </w:rPr>
        <w:t xml:space="preserve">1</w:t>
      </w:r>
      <w:r w:rsidR="00000000" w:rsidRPr="00000000" w:rsidDel="00000000">
        <w:rPr>
          <w:rtl w:val="0"/>
        </w:rPr>
        <w:t xml:space="preserve">3., 62.</w:t>
      </w:r>
      <w:r w:rsidR="00000000" w:rsidRPr="00000000" w:rsidDel="00000000">
        <w:rPr>
          <w:vertAlign w:val="superscript"/>
          <w:rtl w:val="0"/>
        </w:rPr>
        <w:t xml:space="preserve">1</w:t>
      </w:r>
      <w:r w:rsidR="00000000" w:rsidRPr="00000000" w:rsidDel="00000000">
        <w:rPr>
          <w:rtl w:val="0"/>
        </w:rPr>
        <w:t xml:space="preserve">4., 62.</w:t>
      </w:r>
      <w:r w:rsidR="00000000" w:rsidRPr="00000000" w:rsidDel="00000000">
        <w:rPr>
          <w:vertAlign w:val="superscript"/>
          <w:rtl w:val="0"/>
        </w:rPr>
        <w:t xml:space="preserve">1</w:t>
      </w:r>
      <w:r w:rsidR="00000000" w:rsidRPr="00000000" w:rsidDel="00000000">
        <w:rPr>
          <w:rtl w:val="0"/>
        </w:rPr>
        <w:t xml:space="preserve">5., 62.</w:t>
      </w:r>
      <w:r w:rsidR="00000000" w:rsidRPr="00000000" w:rsidDel="00000000">
        <w:rPr>
          <w:vertAlign w:val="superscript"/>
          <w:rtl w:val="0"/>
        </w:rPr>
        <w:t xml:space="preserve">1</w:t>
      </w:r>
      <w:r w:rsidR="00000000" w:rsidRPr="00000000" w:rsidDel="00000000">
        <w:rPr>
          <w:rtl w:val="0"/>
        </w:rPr>
        <w:t xml:space="preserve">6., 62.</w:t>
      </w:r>
      <w:r w:rsidR="00000000" w:rsidRPr="00000000" w:rsidDel="00000000">
        <w:rPr>
          <w:vertAlign w:val="superscript"/>
          <w:rtl w:val="0"/>
        </w:rPr>
        <w:t xml:space="preserve">1</w:t>
      </w:r>
      <w:r w:rsidR="00000000" w:rsidRPr="00000000" w:rsidDel="00000000">
        <w:rPr>
          <w:rtl w:val="0"/>
        </w:rPr>
        <w:t xml:space="preserve">7., 62.</w:t>
      </w:r>
      <w:r w:rsidR="00000000" w:rsidRPr="00000000" w:rsidDel="00000000">
        <w:rPr>
          <w:vertAlign w:val="superscript"/>
          <w:rtl w:val="0"/>
        </w:rPr>
        <w:t xml:space="preserve">1</w:t>
      </w:r>
      <w:r w:rsidR="00000000" w:rsidRPr="00000000" w:rsidDel="00000000">
        <w:rPr>
          <w:rtl w:val="0"/>
        </w:rPr>
        <w:t xml:space="preserve">8., 62.</w:t>
      </w:r>
      <w:r w:rsidR="00000000" w:rsidRPr="00000000" w:rsidDel="00000000">
        <w:rPr>
          <w:vertAlign w:val="superscript"/>
          <w:rtl w:val="0"/>
        </w:rPr>
        <w:t xml:space="preserve">1</w:t>
      </w:r>
      <w:r w:rsidR="00000000" w:rsidRPr="00000000" w:rsidDel="00000000">
        <w:rPr>
          <w:rtl w:val="0"/>
        </w:rPr>
        <w:t xml:space="preserve">9., 62.</w:t>
      </w:r>
      <w:r w:rsidR="00000000" w:rsidRPr="00000000" w:rsidDel="00000000">
        <w:rPr>
          <w:vertAlign w:val="superscript"/>
          <w:rtl w:val="0"/>
        </w:rPr>
        <w:t xml:space="preserve">1</w:t>
      </w:r>
      <w:r w:rsidR="00000000" w:rsidRPr="00000000" w:rsidDel="00000000">
        <w:rPr>
          <w:rtl w:val="0"/>
        </w:rPr>
        <w:t xml:space="preserve">10., 62.</w:t>
      </w:r>
      <w:r w:rsidR="00000000" w:rsidRPr="00000000" w:rsidDel="00000000">
        <w:rPr>
          <w:vertAlign w:val="superscript"/>
          <w:rtl w:val="0"/>
        </w:rPr>
        <w:t xml:space="preserve">1</w:t>
      </w:r>
      <w:r w:rsidR="00000000" w:rsidRPr="00000000" w:rsidDel="00000000">
        <w:rPr>
          <w:rtl w:val="0"/>
        </w:rPr>
        <w:t xml:space="preserve">11., 62.</w:t>
      </w:r>
      <w:r w:rsidR="00000000" w:rsidRPr="00000000" w:rsidDel="00000000">
        <w:rPr>
          <w:vertAlign w:val="superscript"/>
          <w:rtl w:val="0"/>
        </w:rPr>
        <w:t xml:space="preserve">1</w:t>
      </w:r>
      <w:r w:rsidR="00000000" w:rsidRPr="00000000" w:rsidDel="00000000">
        <w:rPr>
          <w:rtl w:val="0"/>
        </w:rPr>
        <w:t xml:space="preserve">12., 62.</w:t>
      </w:r>
      <w:r w:rsidR="00000000" w:rsidRPr="00000000" w:rsidDel="00000000">
        <w:rPr>
          <w:vertAlign w:val="superscript"/>
          <w:rtl w:val="0"/>
        </w:rPr>
        <w:t xml:space="preserve">1</w:t>
      </w:r>
      <w:r w:rsidR="00000000" w:rsidRPr="00000000" w:rsidDel="00000000">
        <w:rPr>
          <w:rtl w:val="0"/>
        </w:rPr>
        <w:t xml:space="preserve">13. un 62.</w:t>
      </w:r>
      <w:r w:rsidR="00000000" w:rsidRPr="00000000" w:rsidDel="00000000">
        <w:rPr>
          <w:vertAlign w:val="superscript"/>
          <w:rtl w:val="0"/>
        </w:rPr>
        <w:t xml:space="preserve">1</w:t>
      </w:r>
      <w:r w:rsidR="00000000" w:rsidRPr="00000000" w:rsidDel="00000000">
        <w:rPr>
          <w:rtl w:val="0"/>
        </w:rPr>
        <w:t xml:space="preserve">14. apakšpunktā noteiktajām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47.4.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ja tiek pārkāpti Komisijas regulas Nr. 1407/2013 nosacījumi, komersantam ir pienākums atmaksāt sabiedrībai "Altum"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"47.8. atbalstāmi ir ieguldījumi jaunu aktīvu iegādē un ar nemateriālo aktīvu nomu saistītās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sabiedrības "Altum" aizdevumam vai paralēlajam aizdevumam, kas ir vienāds ar piešķirto kapitāla atlaidi;".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51.2.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sabiedrības "Altum" aizdevumam vai paralēlajam aizdevumam, kas pārsniedz piešķirto kapitāla atlaidi: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51.2.1. ja atbalstu sākotnēji sniedz saskaņā ar šo noteikumu 22. vai 46. punktu un termiņa pagarinājums nerada sākotnēji piešķirtā valsts atbalsta summas un intensitātes pārsniegumu, nodrošinot Komisijas regulas Nr. 651/2014 5. pantā vai Komisijas regulas Nr. 1407/2013 4. pantā noteiktos atbalsta pārredzamības nosacījumus, tas ir, netiek piešķirts jauns 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51.2.2. ja tas ir jauns atbalsts, ko sniedz saskaņā ar šo noteikumu 46. punktu, un ja atbalstu arī sākotnēji sniedza saskaņā ar šo noteikumu 46. punktu. Ja komersants atbilst šo noteikumu 46. punktā minētā valsts atbalsta saņemšanas prasībām, atbalstu piešķir, kad sabiedrība "Altum" ir pieņēmusi jaunu lēmumu, kurā ir noteikts atbalsta maksimālais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Sabiedrības "Altum" aizdevumam vai paralēlajam aizdevumam subsīdijas ekvivalentu aprēķina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sabiedrības "Altum" aizdevumam vai paralēlajam aizdevumam, kas ir vienāds ar piešķirto kapitāla atlaidi, subsīdijas ekvivalents ir vienāds ar komersantam piešķirtā sabiedrības "Altum" aizdevuma vai paralēlā aizdevuma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sabiedrības "Altum" aizdevumam vai paralēlajam aizdevumam, kas pārsniedz piešķirto kapitāla atlaidi, kopējo subsīdijas ekvivalentu aprēķina un nosaka, summējot subsīdijas ekvivalenta daļas sabiedrības "Altum" aizdevuma vai paralēlā aizdevuma daļai, kas ir vienāda ar piešķirto kapitāla atlaidi, un sabiedrības "Altum" aizdevuma vai paralēlā aizdevuma daļai, kas pārsniedz piešķirtās kapitāla atlaides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57.2.1. sabiedrības "Altum" aizdevuma vai paralēlā aizdevuma daļai, kas ir vienāda ar piešķirto kapitāla atlaidi, subsīdijas ekvivalents ir vienāds ar komersantam piešķirto kapitāla atlaides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57.2.2. 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kā arī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57.2.3. 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60.7.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"60.7. nodrošina pastiprinātus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 nodrošinot ne mazāk kā vienu konferenci šo noteikumu 41. punktā minēto mērķu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Investīciju projekta īstenošanā piemēro principu "nenodarīt būtisku kaitējumu" saskaņā ar Eiropas Parlamenta un Padomes 2021. gada 12. februāra Regulas Nr. 2021/241, ar ko izveido Atveseļošanas un noturības mehānismu, 5. panta 2. punktu. Sabiedrība "Altum", slēdzot ar gala labuma guvēju līgumu par investīciju projekta īstenošanu, iekļauj tajā informāciju, ka neatbalsta iniciatīvas, kas nodara būtisku kaitējumu. Šā punkta prasību ievērošanu nodrošina visa gala labuma guvēja investīciju projekta īstenošanas laikā. Par darbībām, kas pārkāpj principu "nenodarīt būtisku kaitējumu", uzskatāmas: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darbības, kas kaitē vides piesārņojuma novēršanai un kontrolei, izņemot gadījumus, ja gala labuma guvējs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darbības, kas saistītas ar siltumnīcefekta gāzu emisiju radīšanu, izņemot gadījumus, ja gala labuma guvējs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darbības, kas kaitē bioloģiskās daudzveidības un ekosistēmu aizsardzībai un atjaunošanai, ja minētā darbība kaitē ekosistēmu labam stāvoklim un izturētspējai, vai kaitē dzīvotņu un sugu, tostarp Eiropas Savienības nozīmes dzīvotņu un sugu, aizsardzības statusam, izņemot gadījumus, ja gala labuma guvējs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62.4. darbības, kas kaitē ūdensobjektu labam stāvoklim vai to labam ekoloģiskajam potenciālam, ieskaitot virszemes ūdeņus un gruntsūdeņus, vai jūras ūdeņu labam vides stāvoklim, izņemot gadījumus, ja gala labuma guvējs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62.5. darbības,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gala labuma guvējs ir saņēmis atļauju šo darbību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62.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Atbalsts netiek sniegts šādām darbībām, nozarēm, iekārtām un komersantiem: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1407/2013 1. panta 1. punktā noteiktajās neatbalstāmajās nozarēs, ja gala labuma guvējs pretendē uz atbalstu saskaņā ar Komisijas regulu Nr. 1407/2013;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 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 azartspēlēm un derībām (NACE 2.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 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 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 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 atkritumu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 Komisijas regulas Nr. 651/2014 1. panta 2. punkta "c" un "d" apakšpunktā noteiktajās neatbalstāmajās nozarēs un darbībās, ja gala labuma guvējs pretendē uz atbalstu saskaņā ar Komisijas regulu Nr. 651/2014;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 Komisijas regulas Nr. 651/2014 1. panta 3. punktā noteiktajās neatbalstāmajās nozarēs un darbībās atbilstoši Komisijas regulas Nr. 651/2014 2. panta 8., 9., 10. un 11. punktā noteiktajām definīcijām, ja gala labuma guvējs pretendē uz atbalstu saskaņā ar Komisijas regulu Nr. 651/2014;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 Komisijas regulas Nr. 651/2014 13. panta "a" un "b" punktā noteiktajās nozarēs: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10.1. Komisijas regulas Nr. 651/2014 13. panta "a" punktā noteiktajās nozarēs atbilstoši Komisijas regulas Nr. 651/2014 2. panta 13., 43. un 43a. punktā noteiktajām definīcijām;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10.2. Komisijas regulas Nr. 651/2014 13. panta "b" punktā noteiktajās nozarēs atbilstoši Komisijas regulas Nr. 651/2014 2. panta 45. un 130. punktā noteiktajām definīcijām un platjoslas tīkla attīstīšanai;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10.3. finanšu un apdrošināšanas darbībai (NACE 2. red. K sadaļa "Finanšu un apdrošināšanas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10.4. aizdevumu refinansēšanai un restrukturēšanai, ja atbalstu piešķir saskaņā ar šo noteikumu 22.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10.5. iekārtu un to programmatūru iegādei un nomai, kas saistīta ar atkritumu savākšanu, uzglabāšanu, apstrādi, pārstrādi un apglabāšanu;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10.6. darbībām, kas saistītas ar fosilo kurināmo, tostarp tā pārkārtotu izmantošanu, tai skaitā elektroenerģijas vai siltuma ražošanas projektiem, kā arī saistīto pārvades un sadales infrastruktūru projektiem, izmantojot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10.7. darbībām, kas saistītas ar atkritumu poligoniem, sadedzināšanas iekārtām un mehāniski bioloģiskās apstrādes iekārtām;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10.8. 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 finanšu un apdrošināšanas darbībai (NACE 2. red. K sadaļa "Finanšu un apdrošināšanas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 aizdevumu refinansēšanai un restrukturēšanai, ja atbalstu piešķir saskaņā ar šo noteikumu 22.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 iekārtu un to programmatūru iegādei un nomai, kas saistīta ar atkritumu savākšanu, uzglabāšanu, apstrādi, pārstrādi un apglabāšanu;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 darbībām, kas saistītas ar fosilo kurināmo, tostarp tā pārkārtoto izmantošanu, tai skaitā elektroenerģijas vai siltuma ražošanas projektiem, kā arī saistīto pārvades un sadales infrastruktūru projektiem, izmantojot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 uzsāktu projektu īstenošanai, ja atbalstu piešķir saskaņā ar šo noteikumu 22.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22-TA-3389</w:t>
    </w:r>
    <w:r>
      <w:br/>
    </w:r>
    <w:r w:rsidR="00000000" w:rsidRPr="00000000" w:rsidDel="00000000">
      <w:rPr>
        <w:rtl w:val="0"/>
      </w:rPr>
      <w:t xml:space="preserve">Izdrukāts 29.07.2026. 22.12 - 1.0.VK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22-TA-3389</w:t>
    </w:r>
    <w:r>
      <w:br/>
    </w:r>
    <w:r w:rsidR="00000000" w:rsidRPr="00000000" w:rsidDel="00000000">
      <w:rPr>
        <w:rtl w:val="0"/>
      </w:rPr>
      <w:t xml:space="preserve">Izdrukāts 29.07.2026. 22.12 - 1.0.VK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noteikumu_(grozījumu)_projekts_22-TA-3389.docx</dc:title>
</cp:coreProperties>
</file>

<file path=docProps/custom.xml><?xml version="1.0" encoding="utf-8"?>
<Properties xmlns="http://schemas.openxmlformats.org/officeDocument/2006/custom-properties" xmlns:vt="http://schemas.openxmlformats.org/officeDocument/2006/docPropsVTypes"/>
</file>