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uzņēmumā izmantojamā dzeramā ūdens obligātās nekaitīguma un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Mikrobioloģiskie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36"/>
        <w:gridCol w:w="3367"/>
        <w:gridCol w:w="4787"/>
        <w:tblGridChange w:id="0">
          <w:tblGrid>
            <w:gridCol w:w="1036"/>
            <w:gridCol w:w="3367"/>
            <w:gridCol w:w="47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pieļaujamā norma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Nefasētam ūdenim vietā, kurā pārtikas uzņēmumā izmanto dzeramo ūdeni: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Escherichia coli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enterokoki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Dzeramajam ūdenim vietā, kurā ūdeni iepilda pudelēs vai traukos, un fasētam dzeramajam ūdenim: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Escherichia coli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enterokoki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0/250 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Ķīmiskie rādītāji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3"/>
        <w:gridCol w:w="1566"/>
        <w:gridCol w:w="2048"/>
        <w:gridCol w:w="4343"/>
        <w:tblGridChange w:id="0">
          <w:tblGrid>
            <w:gridCol w:w="1083"/>
            <w:gridCol w:w="1566"/>
            <w:gridCol w:w="2048"/>
            <w:gridCol w:w="434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pieļaujamā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Akrilamīds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Rādītājs attiecas uz monomēra atlikuma koncentrāciju ūdenī, kura aprēķināta, ievērojot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Benzo(a)pirēns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Bisfenols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piemērot vērtību 2,4 mg/l, ja riska izvērtējumā ir secināts, ka augstu bora līmeni gruntsūdenī ir radījuši ģeoloģiskie apstākļi reģionā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Parametra vērtību 0,70 mg/l piemēro, ja dzeramā ūdens dezinfekcijai izmanto dezinfekcijas metodi, kuras rezultātā rodas hlorāts, īpaši hlora dioksīds.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Parametru nosaka tikai tad, ja izmanto šādas dezinfekcijas metodes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Hlorīti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Parametra vērtību 0,70 mg/l piemēro, ja dzeramā ūdens dezinfekcijai izmanto dezinfekcijas metodi, kuras rezultātā rodas hlorīts, īpaši hlora dioksīds.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Parametru nosaka tikai tad, ja izmanto šādas dezinfekcijas metodes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Rādītāja vērtība 25 μg/l piemērojama no 2036. gada 12.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minētajai dienai hroma rādītāja vērtība ir 50 μg/l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Cianīdi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1,2-dihloretāns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Epihlorhidrīns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Rādītāja vērtība attiecas uz monomēra atlikuma koncentrāciju ūdenī, kas aprēķināta, ievērojot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Halogēnetiķskābes (HAA5)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Rādītāju nosaka, ja dzeramā ūdens dezinfekcijai izmanto dezinfekcijas metodes, kas var radīt halogēnetiķskābes. Tā ir tādu piecu reprezentatīvo vielu summa kā monohloretiķskābe, dihloretiķskābe, trihloretiķskābe, monobrometiķskābe un dibrometiķskābe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Rādītāja vērtība 5 μg/l piemērojama no 2036. gada 12.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minētajai dienai rādītāja vērtība ir 10 μg/l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Mikrocistīns-LR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Rādītāju nosaka tikai tad, ja ūdens ieguves vietā pastāv potenciāla ūdens ziedēšana (kas palielina cianobaktēriju šūnu blīvumu vai ziedēšanas veidošanās potenciālu)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 (NO</w:t>
            </w:r>
            <w:r w:rsidR="00000000" w:rsidRPr="00000000" w:rsidDel="00000000">
              <w:rPr>
                <w:vertAlign w:val="subscript"/>
                <w:rtl w:val="0"/>
              </w:rPr>
              <w:t xml:space="preserve">3</w:t>
            </w:r>
            <w:r w:rsidR="00000000" w:rsidRPr="00000000" w:rsidDel="00000000">
              <w:rPr>
                <w:rtl w:val="0"/>
              </w:rPr>
              <w:t xml:space="preserve">) (mg/l)/50 + nitrīti (NO</w:t>
            </w:r>
            <w:r w:rsidR="00000000" w:rsidRPr="00000000" w:rsidDel="00000000">
              <w:rPr>
                <w:vertAlign w:val="subscript"/>
                <w:rtl w:val="0"/>
              </w:rPr>
              <w:t xml:space="preserve">2</w:t>
            </w:r>
            <w:r w:rsidR="00000000" w:rsidRPr="00000000" w:rsidDel="00000000">
              <w:rPr>
                <w:rtl w:val="0"/>
              </w:rPr>
              <w:t xml:space="preserve">) (mg/l)/3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ūdens attīrīšanas nitrītu saturs nedrīkst pārsniegt 0,10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 (NO</w:t>
            </w:r>
            <w:r w:rsidR="00000000" w:rsidRPr="00000000" w:rsidDel="00000000">
              <w:rPr>
                <w:vertAlign w:val="subscript"/>
                <w:rtl w:val="0"/>
              </w:rPr>
              <w:t xml:space="preserve">3</w:t>
            </w:r>
            <w:r w:rsidR="00000000" w:rsidRPr="00000000" w:rsidDel="00000000">
              <w:rPr>
                <w:rtl w:val="0"/>
              </w:rPr>
              <w:t xml:space="preserve">) (mg/l)/50 + nitrīti (NO</w:t>
            </w:r>
            <w:r w:rsidR="00000000" w:rsidRPr="00000000" w:rsidDel="00000000">
              <w:rPr>
                <w:vertAlign w:val="subscript"/>
                <w:rtl w:val="0"/>
              </w:rPr>
              <w:t xml:space="preserve">2</w:t>
            </w:r>
            <w:r w:rsidR="00000000" w:rsidRPr="00000000" w:rsidDel="00000000">
              <w:rPr>
                <w:rtl w:val="0"/>
              </w:rPr>
              <w:t xml:space="preserve">) (mg/l)/3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ūdens attīrīšanas nitrītu saturs nedrīkst pārsniegt 0,10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Pesticīdi (atsevišķi)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Pesticīdu grupai pielīdzināmi šādi augu aizsardzības līdzekļi:</w:t>
            </w:r>
            <w:r>
              <w:tab/>
            </w:r>
            <w:r>
              <w:br/>
            </w:r>
            <w:r w:rsidR="00000000" w:rsidRPr="00000000" w:rsidDel="00000000">
              <w:rPr>
                <w:rtl w:val="0"/>
              </w:rPr>
              <w:t xml:space="preserve">a) organiskie insekticīdi, organiskie herbicīdi;</w:t>
            </w:r>
            <w:r>
              <w:tab/>
            </w:r>
            <w:r>
              <w:br/>
            </w:r>
            <w:r w:rsidR="00000000" w:rsidRPr="00000000" w:rsidDel="00000000">
              <w:rPr>
                <w:rtl w:val="0"/>
              </w:rPr>
              <w:t xml:space="preserve">b) organiskie fungicīdi, organiskie nematocīdi;</w:t>
            </w:r>
            <w:r>
              <w:tab/>
            </w:r>
            <w:r>
              <w:br/>
            </w:r>
            <w:r w:rsidR="00000000" w:rsidRPr="00000000" w:rsidDel="00000000">
              <w:rPr>
                <w:rtl w:val="0"/>
              </w:rPr>
              <w:t xml:space="preserve">c) organiskie akaricīdi, organiskie algicīdi;</w:t>
            </w:r>
            <w:r>
              <w:tab/>
            </w:r>
            <w:r>
              <w:br/>
            </w:r>
            <w:r w:rsidR="00000000" w:rsidRPr="00000000" w:rsidDel="00000000">
              <w:rPr>
                <w:rtl w:val="0"/>
              </w:rPr>
              <w:t xml:space="preserve">d) organiskie rodenticīdi, organiskie slimicīdi;</w:t>
            </w:r>
            <w:r>
              <w:tab/>
            </w:r>
            <w:r>
              <w:br/>
            </w:r>
            <w:r w:rsidR="00000000" w:rsidRPr="00000000" w:rsidDel="00000000">
              <w:rPr>
                <w:rtl w:val="0"/>
              </w:rPr>
              <w:t xml:space="preserve">e) tiem pielīdzinātie produkti (tostarp augšanas regulatori) un metabolīti, kā noteikts Eiropas Parlamenta un Padomes 2009. gada 21. oktobra Regulas (EK) Nr. 1107/2009 par augu aizsardzības līdzekļu laišanu tirgū 3. panta 32. punktā, tos uzskatot par nozīmīgiem attiecībā uz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Pesticīdu metabolītu uzskata par nozīmīgu dzeramajam ūdenim, ja ir pamats domāt, ka no pesticīda mērķa iedarbības viedokļa tam ir raksturīgas īpašības, kas ir salīdzināmas ar tām, kādas piemīt vielai, no kuras tas radies, vai ka tas pats vai tā transformācijas produkti rada risku patērētāju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Rādītāja vērtību 0,10 μg/l katram pesticīdam piemēro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Aldrīnam, dieldrīnam, heptahloram un heptahlorepoksīdam rādītāja vērtība ir 0,030 μg/l.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nosaka tikai tos pesticīdus, kuru klātbūtne tajā ir iespējama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Pesticīdi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"Pesticīdi (kopā)" nozīmē visu atsevišķo monitoringa procedūrā konstatēto un kvantitatīvi noteikto pesticīdu summu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Policikliskie aromātiskie ogļūdeņraži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Šādu noteiktu savienojumu summārā koncentrācija: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benzo(b)fluorantēns;</w:t>
            </w:r>
            <w:r>
              <w:tab/>
            </w:r>
            <w:r>
              <w:br/>
            </w:r>
            <w:r w:rsidR="00000000" w:rsidRPr="00000000" w:rsidDel="00000000">
              <w:rPr>
                <w:rtl w:val="0"/>
              </w:rPr>
              <w:t xml:space="preserve">b) benzo(k)fluorantēns;</w:t>
            </w:r>
            <w:r>
              <w:tab/>
            </w:r>
            <w:r>
              <w:br/>
            </w:r>
            <w:r w:rsidR="00000000" w:rsidRPr="00000000" w:rsidDel="00000000">
              <w:rPr>
                <w:rtl w:val="0"/>
              </w:rPr>
              <w:t xml:space="preserve">c) benzo(ghi)perilēns;</w:t>
            </w:r>
            <w:r>
              <w:tab/>
            </w:r>
            <w:r>
              <w:br/>
            </w:r>
            <w:r w:rsidR="00000000" w:rsidRPr="00000000" w:rsidDel="00000000">
              <w:rPr>
                <w:rtl w:val="0"/>
              </w:rPr>
              <w:t xml:space="preserve">d) indeno(1,2,3-cd)pirēns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piemērot vērtību 30 μg/l, ja riska izvērtējumā ir secināts, ka augstu selēna līmeni gruntsūdenī ir radījuši ģeoloģiskie apstākļi reģionā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Tetrahloretēns un trihloretēns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divu parametru summārā koncentrācija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Trihalometāni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noteiktu vielu koncentrācijas summa kā hloroforms, bromoforms, dibromhlormetāns un bromdihlormetāns.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Neradot negatīvu ietekmi uz dezinfekciju, ir jāpanāk pēc iespējas zemāka rādītāja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Vinilhlorīds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Rādītājs attiecas uz monomēra atlikuma koncentrāciju ūdenī, kura aprēķināta, ievērojot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PFAS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"PFAS (kopā)" ir perfluoralkilētu un polifluoralkilētu vielu kopums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PFAS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"PFAS (summa)" ir to perfluoralkilētu un polifluoralkilētu vielu summa, kuras tiek uzskatītas par problemātiskām attiecībā uz dzeramo ūdeni un minētas 4. pielikuma 8. punktā. Tā ir "PFAS (kopā)" vielu apakšgrupa, kas ietver perfluoralkilētu grupu ar trim vai vairāk oglekļa atomiem (piemēram, –CnF</w:t>
            </w:r>
            <w:r w:rsidR="00000000" w:rsidRPr="00000000" w:rsidDel="00000000">
              <w:rPr>
                <w:vertAlign w:val="subscript"/>
                <w:rtl w:val="0"/>
              </w:rPr>
              <w:t xml:space="preserve">2n</w:t>
            </w:r>
            <w:r w:rsidR="00000000" w:rsidRPr="00000000" w:rsidDel="00000000">
              <w:rPr>
                <w:rtl w:val="0"/>
              </w:rPr>
              <w:t xml:space="preserve">–, n ≥ 3) vai perfluoralkila ētera grupu ar diviem vai vairāk oglekļa atomiem (piemēram, –CnF</w:t>
            </w:r>
            <w:r w:rsidR="00000000" w:rsidRPr="00000000" w:rsidDel="00000000">
              <w:rPr>
                <w:vertAlign w:val="subscript"/>
                <w:rtl w:val="0"/>
              </w:rPr>
              <w:t xml:space="preserve">2n</w:t>
            </w:r>
            <w:r w:rsidR="00000000" w:rsidRPr="00000000" w:rsidDel="00000000">
              <w:rPr>
                <w:rtl w:val="0"/>
              </w:rPr>
              <w:t xml:space="preserve">OCmF</w:t>
            </w:r>
            <w:r w:rsidR="00000000" w:rsidRPr="00000000" w:rsidDel="00000000">
              <w:rPr>
                <w:vertAlign w:val="subscript"/>
                <w:rtl w:val="0"/>
              </w:rPr>
              <w:t xml:space="preserve">2m–</w:t>
            </w:r>
            <w:r w:rsidR="00000000" w:rsidRPr="00000000" w:rsidDel="00000000">
              <w:rPr>
                <w:rtl w:val="0"/>
              </w:rPr>
              <w:t xml:space="preserve">, n un m ≥ 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Indikatorparametri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18"/>
        <w:gridCol w:w="1619"/>
        <w:gridCol w:w="2070"/>
        <w:gridCol w:w="4333"/>
        <w:tblGridChange w:id="0">
          <w:tblGrid>
            <w:gridCol w:w="1018"/>
            <w:gridCol w:w="1619"/>
            <w:gridCol w:w="2070"/>
            <w:gridCol w:w="433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pieļaujamā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w:t>
            </w:r>
            <w:r w:rsidR="00000000" w:rsidRPr="00000000" w:rsidDel="00000000">
              <w:rPr>
                <w:b w:val="1"/>
                <w:rtl w:val="0"/>
              </w:rPr>
              <w:t xml:space="preserve">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Ūdenim nevajadzētu būt korozīvam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Clostridium perfringens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(ieskaitot sporas)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rādītājs nav jāmēra, ja vien ūdens izcelsmes vietu neiespaido virszemes ūdeņi. Ja ir neatbilstība rādītājam, jāizpēta piegāde, lai nodrošinātu, ka nepastāv patogēnu mikroorganismu, piemēram, kriptosporu, klātbūtnes radīts apdraudējums cilvēku veselībai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Pieņemama patērētājiem un bez būtiskām pārmaiņām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 µS cm</w:t>
            </w:r>
            <w:r w:rsidR="00000000" w:rsidRPr="00000000" w:rsidDel="00000000">
              <w:rPr>
                <w:vertAlign w:val="superscript"/>
                <w:rtl w:val="0"/>
              </w:rPr>
              <w:t xml:space="preserve">-1</w:t>
            </w:r>
            <w:r w:rsidR="00000000" w:rsidRPr="00000000" w:rsidDel="00000000">
              <w:rPr>
                <w:rtl w:val="0"/>
              </w:rPr>
              <w:t xml:space="preserve"> 20 °C temperatūrā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Ūdenim nevajadzētu būt agresīvam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Ūdeņraža jonu koncentrācija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6,5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9,5 pH vienības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Ūdenim nevajadzētu būt agresīvam.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Negāzētam fasētam dzeramajam ūdenim pieļaujamo normu  var samazināt līdz 4,5 pH 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Fasētam dzeramam ūdenim, kas ir dabiski bagāts vai mākslīgi bagātināts ar oglekļa dioksīdu, minimālā pieļaujamā norma var būt zemāka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µg/l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Pieņemama patērētājiem un bez būtiskām pārmaiņām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Oksidējamība (KMnO</w:t>
            </w:r>
            <w:r w:rsidR="00000000" w:rsidRPr="00000000" w:rsidDel="00000000">
              <w:rPr>
                <w:vertAlign w:val="subscript"/>
                <w:rtl w:val="0"/>
              </w:rPr>
              <w:t xml:space="preserve">4</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mg/l O</w:t>
            </w:r>
            <w:r w:rsidR="00000000" w:rsidRPr="00000000" w:rsidDel="00000000">
              <w:rPr>
                <w:vertAlign w:val="sub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Ūdenim nevajadzētu būt korozīvam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Pieņemama patērētājiem un bez būtiskām pārmaiņām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koloniju skaits (KVV) 22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baktērijas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Fasētam dzeramajam ūdenim šī rādītāja maksimāli pieļaujamā norma ir 0/250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Duļķainība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NTU (nefelometriskās duļķainības vienības)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Ūdenim nevajadzētu būt ne agresīvam, ne korozīvam. Tas īpaši attiecas uz ūdeni, kas tiek apstrādāts (demineralizācija, mīkstināšana, apstrāde, lietojot membrānu tehnoloģiju, reversā osmoze utt.).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Ja dzeramā ūdens apstrādes rezultātā ūdens tiek ievērojami demineralizēts vai mīkstināts, ūdens uzlabošanai var pievienot kalcija un magnija sāļus, lai samazinātu jebkādu ūdens iespējamu negatīvu ietekmi uz veselību, kā arī samazinātu ūdens koroziju vai agresiju un uzlabotu garšu. Minimālo kalcija un magnija vai kopējo izšķīdušo daļiņu koncentrāciju mīkstinātā vai demineralizētā ūdenī varētu noteikt, ņemot vērā ūdens īpašības, kas iekļūst minētajos procesos.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Radioaktīvo vielu rādītāji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30"/>
        <w:gridCol w:w="1641"/>
        <w:gridCol w:w="2048"/>
        <w:gridCol w:w="4321"/>
        <w:tblGridChange w:id="0">
          <w:tblGrid>
            <w:gridCol w:w="1030"/>
            <w:gridCol w:w="1641"/>
            <w:gridCol w:w="2048"/>
            <w:gridCol w:w="43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Rādītāja vērtība</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tritija koncentrācija pārsniedz noteikto rādītāja vērtību, veic citu mākslīgo radionuklīdu analīzi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Indikatīvā doza (ID)</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 mSv/gadā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Indikatīvā doza (ID) nepārsniedz 0,10 mSv gadā,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kopējā alfa starojuma avotu īpatnējā radioaktivitāte (kopējā alfa radioaktivitāte) nepārsniedz 0,1 Bq/l;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kopējā beta starojuma avotu īpatnējā radioaktivitāte (kopējā beta radioaktivitāte) nepārsniedz 1 Bq/l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Rādītāja vērtība ir radioaktīvo vielu vērtība dzeramajā ūdenī.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Indikatīvā doza (ID) ir paredzamā efektīvā doza viena gada laikā visu to dabiskās un mākslīgās izcelsmes radionuklīdu uzņemšanas dēļ, kuru klātbūtne konstatēta piegādātajā dzeramajā ūdenī, izņemot tritiju, kāliju-40, radonu un radona sabrukšanas produktus ar īsu pussabrukšanas periodu.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22-TA-186</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22-TA-186</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noteikumu_projekts_p1_22-TA-186.docx</dc:title>
</cp:coreProperties>
</file>

<file path=docProps/custom.xml><?xml version="1.0" encoding="utf-8"?>
<Properties xmlns="http://schemas.openxmlformats.org/officeDocument/2006/custom-properties" xmlns:vt="http://schemas.openxmlformats.org/officeDocument/2006/docPropsVTypes"/>
</file>