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233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Dzeramā ūdens monitoringa programma pārtikas uzņēmumos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Kārtējā monitoringā nosakāmie rādītāji: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dzeramajam ūdenim, kas tiek piegādāts pa centralizētām ūdensapgādes sistēmām: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18"/>
        <w:gridCol w:w="3017"/>
        <w:gridCol w:w="5255"/>
        <w:tblGridChange w:id="0">
          <w:tblGrid>
            <w:gridCol w:w="918"/>
            <w:gridCol w:w="3017"/>
            <w:gridCol w:w="525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Escherichia coli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Zarnu enterokoki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dzeramajam ūdenim pārtikas uzņēmumā ar savu ūdens ieguves vietu (piemēram, dziļurbumu, aku):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08"/>
        <w:gridCol w:w="3024"/>
        <w:gridCol w:w="5257"/>
        <w:tblGridChange w:id="0">
          <w:tblGrid>
            <w:gridCol w:w="908"/>
            <w:gridCol w:w="3024"/>
            <w:gridCol w:w="525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Alumīnijs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Nosaka, ja izmanto par ūdens apstrādes ķimikāliju; citos gadījumos to nosaka auditmonitoringā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Amonijs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Nosaka, ja dezinfekcijai tiek izmantota hloraminācija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Nosaka, ja izmanto par ūdens apstrādes ķimikāliju; citos gadījumos to nosaka auditmonitoringā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Duļķainība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Escherichia coli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Garša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Mikroorganismu koloniju skaits (KVV) 22 °C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Nitrīti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Nosaka, ja dezinfekcijai tiek izmantota hloraminācija; citos gadījumos to nosaka auditmonitoringā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Elektrovadītspēja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Koliformas baktērijas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Ūdeņraža jonu koncentrācija (pH)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 Auditmonitoringā nosakāmie rādītāji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27"/>
        <w:gridCol w:w="3063"/>
        <w:gridCol w:w="5198"/>
        <w:tblGridChange w:id="0">
          <w:tblGrid>
            <w:gridCol w:w="927"/>
            <w:gridCol w:w="3063"/>
            <w:gridCol w:w="519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Alumīnijs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Nosaka, ja netiek testēts kārtējā monitoringā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Nitrīti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Nosaka, ja netiek testēts kārtējā monitoringā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Clostridium perfringens</w:t>
            </w:r>
            <w:r w:rsidR="00000000" w:rsidRPr="00000000" w:rsidDel="00000000">
              <w:rPr>
                <w:rtl w:val="0"/>
              </w:rPr>
              <w:t xml:space="preserve"> (arī sporas)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Šis parametrs ir jānosaka, ja riska novērtējums liecina, ka to darīt ir atbilstoši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Hlorīdi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Mangāns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Sulfāti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Arsēns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Fluorīdi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Selēns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Antimons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Benzols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Benzo(a)pirēns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Bromāti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Cianīdi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1,2-dihloretāns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Niķelis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Nitrāti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Policikliskie aromātiskie ogļūdeņraži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Tetrahloretēns un trihloretēns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Trihalometāni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Nātrijs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Oksidējamība (KMnO</w:t>
            </w:r>
            <w:r w:rsidR="00000000" w:rsidRPr="00000000" w:rsidDel="00000000">
              <w:rPr>
                <w:vertAlign w:val="sub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Pesticīdi (atsevišķi)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tikai tos pesticīdus, kuru klātbūtne tajā ir iespējama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Pesticīdi (kopā)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Akrilamīds, vinilhlorīds, epihlorhidrīns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Pārbauda pēc izstrādājuma specifikācijas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Mikrocistīns-LR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Rādītāju nosaka tikai tad, ja ūdens ieguves vietā pastāv potenciāla ūdens ziedēšana (kas palielina cianobaktēriju šūnu blīvumu vai ziedēšanas veidošanās potenciālu)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Bisfenols 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Hlorāti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Parametru nosaka tikai tad, ja dzeramā ūdens dezinfekcijai izmanto dezinfekcijas metodi, kuras rezultātā rodas hlorāts, jo īpaši hlora dioksīds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Hlorīti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Parametru nosaka tikai tad, </w:t>
            </w:r>
            <w:r w:rsidR="00000000" w:rsidRPr="00000000" w:rsidDel="00000000">
              <w:rPr>
                <w:rtl w:val="0"/>
              </w:rPr>
              <w:t xml:space="preserve">ja dzeramā ūdens dezinfekcijai izmanto dezinfekcijas metodi, kuras rezultātā rodas hlorīts, jo īpaši hlora dioksīds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Halogēnetiķskābes (HAA5)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Rādītāju nosaka, ja dzeramā ūdens dezinfekcijai izmanto dezinfekcijas metodes, kas var radīt halogēnetiķskābes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Nosakāmie radioaktīvo vielu rādītāji dzeramajā ūdenī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12"/>
        <w:gridCol w:w="3092"/>
        <w:gridCol w:w="5185"/>
        <w:tblGridChange w:id="0">
          <w:tblGrid>
            <w:gridCol w:w="912"/>
            <w:gridCol w:w="3092"/>
            <w:gridCol w:w="51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Nosaka, uzsākot jaunas ūdens ieguves vietas izmantošanu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Indikatīvā doza (ID)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Nosaka, uzsākot jaunas ūdens ieguves vietas izmantošanu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22-TA-186</w:t>
    </w:r>
    <w:r>
      <w:br/>
    </w:r>
    <w:r w:rsidR="00000000" w:rsidRPr="00000000" w:rsidDel="00000000">
      <w:rPr>
        <w:rtl w:val="0"/>
      </w:rPr>
      <w:t xml:space="preserve">Izdrukāts 29.07.2026. 21.41 - 1.0.VK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22-TA-186</w:t>
    </w:r>
    <w:r>
      <w:br/>
    </w:r>
    <w:r w:rsidR="00000000" w:rsidRPr="00000000" w:rsidDel="00000000">
      <w:rPr>
        <w:rtl w:val="0"/>
      </w:rPr>
      <w:t xml:space="preserve">Izdrukāts 29.07.2026. 21.41 - 1.0.VK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noteikumu_projekts_p2_22-TA-186.docx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