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uzņēmumā izmantojamā dzeramā ūdens nekaitīguma un kvalitātes rādītāju noteikšanas metodes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Analīzes metodes, ko izmanto, monitorējot un pierādot atbilstību šo noteikumu prasībām, izņemot duļķainību, validē un dokumentē saskaņā ar standartu LVS EN ISO/IEC 17025 "Testēšanas un kalibrēšanas laboratoriju kompetences vispārīgās prasības"  vai citiem līdzvērtīgiem starptautiski pieņemtiem standartiem. Laboratorijas vai laboratoriju nolīgtas personas piemēro kvalitātes pārvaldības sistēmas metodiku saskaņā ar standartu LVS EN ISO/IEC 17025 vai citiem līdzvērtīgiem starptautiski atzītiem standartiem.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Lai novērtētu, vai alternatīvās metodes ir līdzvērtīgas šajā pielikumā noteiktajām metodēm, var izmantot standartu LVS EN ISO 17994 "Ūdens kvalitāte. Prasības mikroorganismu relatīvās atgūšanās salīdzināšanai ar divām kvantitatīvām metodēm", kas ir izveidots kā mikrobioloģisko metožu standarts, vai standartu EN ISO 16140 "Pārtikas ķēdes mikrobioloģija – Metožu validēšana", vai jebkurus līdzīgus saskaņotus starptautiskus protokolus, lai noteiktu metožu līdzvērtību, pamatojoties uz principiem, kas nav kultivēšana un kas neietilpst standarta LVS EN ISO 17994 darbības jomā.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nav analītiskas metodes, kas atbilstu šī pielikuma 2. punktā norādītajiem minimālajiem veiktspējas kritērijiem, monitorings tiek īstenots, izmantojot labākos pieejamos paņēmienus, kas nav saistīti ar pārmērīgām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Rādītāji, kuriem noteiktas konkrētas analīzes metodes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2"/>
        <w:gridCol w:w="3589"/>
        <w:gridCol w:w="4638"/>
        <w:tblGridChange w:id="0">
          <w:tblGrid>
            <w:gridCol w:w="962"/>
            <w:gridCol w:w="3589"/>
            <w:gridCol w:w="4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Metode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baktērijas un </w:t>
            </w:r>
            <w:r w:rsidR="00000000" w:rsidRPr="00000000" w:rsidDel="00000000">
              <w:rPr>
                <w:i w:val="1"/>
                <w:rtl w:val="0"/>
              </w:rPr>
              <w:t xml:space="preserve">Escherichia coli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LVS EN ISO 9308-1,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LVS EN ISO 9308-2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kvalitāte. </w:t>
            </w:r>
            <w:r w:rsidR="00000000" w:rsidRPr="00000000" w:rsidDel="00000000">
              <w:rPr>
                <w:i w:val="1"/>
                <w:rtl w:val="0"/>
              </w:rPr>
              <w:t xml:space="preserve">Escherichia coli</w:t>
            </w:r>
            <w:r w:rsidR="00000000" w:rsidRPr="00000000" w:rsidDel="00000000">
              <w:rPr>
                <w:rtl w:val="0"/>
              </w:rPr>
              <w:t xml:space="preserve"> un koliformas baktēriju noteikšana un uzskaite. 1. daļa: Membrānfiltrācijas metode. 2. daļa: Visticamākā skaitļa metode"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enterokoki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LVS EN ISO 7899-2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kvalitāte. Zarnu enterokoku noteikšana un uzskaite. 2. daļa: Membrānfiltrācijas metode"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koloniju skaits (KVV)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heterotrofisko organismu koloniju skaits 22 °C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LVS EN ISO 6222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kvalitāte – Kultivētu mikroorganismu uzskaite – Koloniju skaits, inokulējot barojošā agara barotnē"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Clostridium perfringens</w:t>
            </w:r>
            <w:r w:rsidR="00000000" w:rsidRPr="00000000" w:rsidDel="00000000">
              <w:rPr>
                <w:rtl w:val="0"/>
              </w:rPr>
              <w:t xml:space="preserve"> (arī sporas)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LVS EN ISO 14189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w:t>
            </w:r>
            <w:r w:rsidR="00000000" w:rsidRPr="00000000" w:rsidDel="00000000">
              <w:rPr>
                <w:i w:val="1"/>
                <w:rtl w:val="0"/>
              </w:rPr>
              <w:t xml:space="preserve">Clostridium perfingens</w:t>
            </w:r>
            <w:r w:rsidR="00000000" w:rsidRPr="00000000" w:rsidDel="00000000">
              <w:rPr>
                <w:rtl w:val="0"/>
              </w:rPr>
              <w:t xml:space="preserve"> kvalitāte. Baktēriju uzskaitīšana. Metode, lietojot membrānu filtrāciju"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Veiktspējas kritērija "Mērījumu nenoteiktība" minimālie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2"/>
        <w:gridCol w:w="3600"/>
        <w:gridCol w:w="4628"/>
        <w:tblGridChange w:id="0">
          <w:tblGrid>
            <w:gridCol w:w="962"/>
            <w:gridCol w:w="3600"/>
            <w:gridCol w:w="46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Mērījumu nenoteiktība</w:t>
            </w:r>
            <w:r w:rsidR="00000000" w:rsidRPr="00000000" w:rsidDel="00000000">
              <w:rPr>
                <w:b w:val="1"/>
                <w:vertAlign w:val="superscript"/>
                <w:rtl w:val="0"/>
              </w:rPr>
              <w:t xml:space="preserve">1, 2, 3</w:t>
            </w:r>
            <w:r>
              <w:tab/>
            </w:r>
            <w:r>
              <w:br/>
            </w:r>
            <w:r w:rsidR="00000000" w:rsidRPr="00000000" w:rsidDel="00000000">
              <w:rPr>
                <w:b w:val="1"/>
                <w:rtl w:val="0"/>
              </w:rPr>
              <w:t xml:space="preserve">% no parametra vērtības (izņemot attiecībā uz pH)</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Akrilamīds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Antimons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Benzo(a)pirēns</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Benzols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Bisfenols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Cianīdi</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1,2-dihloretāns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Epihlorhidrīns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Ūdeņraža jonu</w:t>
            </w:r>
            <w:r w:rsidR="00000000" w:rsidRPr="00000000" w:rsidDel="00000000">
              <w:rPr>
                <w:vertAlign w:val="superscript"/>
                <w:rtl w:val="0"/>
              </w:rPr>
              <w:t xml:space="preserve">6</w:t>
            </w:r>
            <w:r w:rsidR="00000000" w:rsidRPr="00000000" w:rsidDel="00000000">
              <w:rPr>
                <w:rtl w:val="0"/>
              </w:rPr>
              <w:t xml:space="preserve"> koncentrācija 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Mikrocistīns-LR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Oksidējamība</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Pesticīdi</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Policikliskie aromātiskie ogļūdeņraži</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Tetrahloretēns</w:t>
            </w:r>
            <w:r w:rsidR="00000000" w:rsidRPr="00000000" w:rsidDel="00000000">
              <w:rPr>
                <w:vertAlign w:val="superscript"/>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Trihloretēns</w:t>
            </w:r>
            <w:r w:rsidR="00000000" w:rsidRPr="00000000" w:rsidDel="00000000">
              <w:rPr>
                <w:vertAlign w:val="superscript"/>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Trihalometāni</w:t>
            </w:r>
            <w:r w:rsidR="00000000" w:rsidRPr="00000000" w:rsidDel="00000000">
              <w:rPr>
                <w:vertAlign w:val="superscript"/>
                <w:rtl w:val="0"/>
              </w:rPr>
              <w:t xml:space="preserve">9</w:t>
            </w:r>
            <w:r w:rsidR="00000000" w:rsidRPr="00000000" w:rsidDel="00000000">
              <w:rPr>
                <w:rtl w:val="0"/>
              </w:rPr>
              <w:t xml:space="preserve">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Duļķainība</w:t>
            </w:r>
            <w:r w:rsidR="00000000" w:rsidRPr="00000000" w:rsidDel="00000000">
              <w:rPr>
                <w:vertAlign w:val="superscript"/>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Vinilhlorīds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Mērījumu nenoteiktība ir nenegatīvs parametrs, kas raksturo, cik izkliedētas ir lieluma vērtības, kuras piedēvē mērlielumam, pamatojoties uz izmantoto informāciju. Veiktspējas kritērijs "Mērījumu nenoteiktība" (k = 2) ir tabulā norādītais procents no parametra vērtības vai jebkuras stingrākas vērtības. Mērījumu nenoteiktību novērtē parametra vērtības līmenī, ja vien nav norādīts citādi.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Izmantoto analīzes metožu kvantitatīvās noteikšanas robeža (mazākā kvantitatīvi nosakāmā koncentrācija, kurai novērtēta mērījumu nenoteiktība) ir ≤ 30 % no parametram noteiktās normatīvās vērtības. Papildus tam nenoteiktība nav lielāka par šā pielikuma 2. punktā norādīto.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Šā pielikuma 2. punktā noteiktajiem parametriem norādītie kritēriji ir tādi, ka ar lietoto analīzes metodi vismaz jāspēj izmērīt koncentrāciju, kas līdzvērtīga parametra vērtībai ar kvantitatīvās noteikšanas robežu un ir 30 % no attiecīgās parametra vērtības vai zemāka, un ar mērījumu nenoteiktību, kas norādīta šā pielikuma 2. punktā.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mērījumu nenoteiktības vērtību nav iespējams sasniegt, ieteicams izvēlēties labāko pieejamo metodi (līdz 60 %).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Ar šo metodi nosaka kopējo cianīdu visos tā veidos.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Mērījumu nenoteiktības vērtības izsaka pH vienībās.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Etalonmetode: standarts LVS EN ISO 8467 L.</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Atsevišķu pesticīdu veiktspējas kritēriji norādīti indikatīvi. Attiecībā uz dažiem pesticīdiem iespējams panākt 30 % augstu mērījumu nenoteiktības vērtību; attiecībā uz vairākiem pesticīdiem var atļaut augstākas vērtības – līdz 80 %.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Veiktspējas kritēriji attiecas uz atsevišķām vielām un ir 25 % no 1. pielikuma 2. punktā norādītās vērtības.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Veiktspējas kritēriji attiecas uz atsevišķām vielām un ir 50 % no 1. pielikuma 2. punktā norādītās vērtības.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Mērījumu nenoteiktību saskaņā ar standartu LVS EN ISO 7027-1 "Ūdens kvalitāte. Duļķainības noteikšana" vai citu līdzvērtīgu standarta metodi ieteicams noteikt līmenī 1,0 NTU (nefelometriskās duļķainības vienības).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Dzeramā ūdens paraugus ņem un transportē uz laboratoriju saskaņā ar standartu LVS EN ISO 5667-3 "Ūdens kvalitāte – Paraugu ņemšana – 3. daļa: Norādījumi ūdens paraugu konservēšanai un glabāšanai" un standartu LVS ISO 5667-5 "Ūdens kvalitāte. Paraugu ņemšana. 5. daļa. Norādījumi dzeramā ūdens paraugu ņemšanai no sagatavošanas iekārtām un cauruļvadu sadales sistēmām".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Radioaktīvo vielu rādītāju novērtēšanas metodes: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indikatīvās dozas (ID) rādītāju vērtības novērtēšana: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 indikatīvās dozas (ID) novērtēšanai izmanto kopējās alfa radioaktivitātes un kopējās bēta radioaktivitātes vērtību noteikšanu. Kopējo bēta radioaktivitātes vērtību var aizstāt ar atlikušo bēta radioaktivitātes vērtību pēc tam, kad tiek atņemta K-40 radioaktivitātes vērtība;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4.1.2. ja kopējā alfa starojuma avotu īpatnējā radioaktivitāte nepārsniedz 0,1 Bq/l un kopējā bēta starojuma avotu īpatnējā radioaktivitāte nepārsniedz 1 Bq/l, tad indikatīvā doza (ID) ir mazāka par rādītāja vērtību 0,1 mSv gadā. Šādā gadījumā nav nepieciešami plašāki radioloģiskie izmeklējumi, ja vien nav zināms, ka ūdens apgādē atrodas radionuklīdi, kuru dēļ ir iespējams pārsniegt indikatīvo dozu (ID) 0,1 mSv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ja kopējā alfa starojuma avotu īpatnējā radioaktivitāte pārsniedz 0,1 Bq/l vai kopējā bēta starojuma avotu īpatnējā radioaktivitāte pārsniedz 1 Bq/l, veic konkrētu radionuklīdu analīzi. Mērāmos radionuklīdus nosaka Pārtikas un veterinārais dienests sadarbībā ar Valsts vides dienesta Radiācijas drošības centru, ņemot vērā būtisko informāciju par iespējamiem radioaktivitātes avotiem;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 tritijam kopējo alfa starojuma avotu īpatnējo radioaktivitāti un kopējo bēta starojuma avotu īpatnējo radioaktivitāti mēra vienā un tajā pašā paraugā;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indikatīvās dozas (ID) aprēķināšana: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4.2.1. indikatīvo dozu (ID) aprēķina pēc izmērītās radionuklīdu koncentrācijas un normatīvajos aktos par aizsardzību pret jonizējošo starojumu noteiktās paredzamās efektīvās dozas (Sv/Bq) iedzīvotājiem, ja radionuklīdi tiek uzņemti ar pārtiku vai ūdeni, pieņemot, ka ūdens patēriņš gadā pieaugušam cilvēkam ir 730 litri. Indikatīvā doza (ID) ir mazāka par rādītāja vērtību 0,1 mSv, un papildu izmeklēšana nav nepieciešama, ja ir spēkā šāda sakarība,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752600" cy="7239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752600" cy="72390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Ci(nov) – radionuklīda i novērotā koncentrācija;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Ci(atv) – radionuklīda i atvasinātā koncentrācija, kas noteikta šo noteikumu 4. pielikuma 7. punktā;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konstatēto radionuklīdu skaits.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Veiktspējas raksturlielumi un analīzes metodes: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0"/>
        <w:gridCol w:w="2766"/>
        <w:gridCol w:w="1645"/>
        <w:gridCol w:w="3908"/>
        <w:tblGridChange w:id="0">
          <w:tblGrid>
            <w:gridCol w:w="720"/>
            <w:gridCol w:w="2766"/>
            <w:gridCol w:w="1645"/>
            <w:gridCol w:w="390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Rādītāji un radionuklīdi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Jutības robeža</w:t>
            </w:r>
            <w:r w:rsidR="00000000" w:rsidRPr="00000000" w:rsidDel="00000000">
              <w:rPr>
                <w:b w:val="1"/>
                <w:vertAlign w:val="superscript"/>
                <w:rtl w:val="0"/>
              </w:rPr>
              <w:t xml:space="preserve">C</w:t>
            </w:r>
            <w:r w:rsidR="00000000" w:rsidRPr="00000000" w:rsidDel="00000000">
              <w:rPr>
                <w:b w:val="1"/>
                <w:vertAlign w:val="superscript"/>
                <w:rtl w:val="0"/>
              </w:rPr>
              <w:t xml:space="preserve">; 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Tritija noteikšanas robeža ir 10 % no tās rādītāja vērtības 100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Radona noteikšanas robeža ir 10 % no tās rādītāja vērtības 100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alfa starojuma avotu īpatnējā radioaktivitāte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alfa starojuma avotu īpatnējās radioaktivitātes jutības robeža ir 40 % no tās rādītāja vērtības 0,1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bēta starojuma avotu īpatnējā radioaktivitāte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bēta starojuma avotu īpatnējās radioaktivitātes jutības robeža ir 40 % no tās rādītāja vērtības 1,0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Jutības robežu attiecina tikai uz sākotnējo indikatīvās dozas (ID) kontroli jaunā ūdens avotā. Ja sākotnējā pārbaudē konstatē mazu ticamību tam, ka Ra-228 pārsniegs 20 % no atvasinātās koncentrācijas, jutības robežu var palielināt līdz 0,08 Bq/l.</w:t>
            </w:r>
            <w:r>
              <w:br/>
            </w:r>
            <w:r w:rsidR="00000000" w:rsidRPr="00000000" w:rsidDel="00000000">
              <w:rPr>
                <w:rtl w:val="0"/>
              </w:rPr>
              <w:t xml:space="preserve">Ra-228 radionuklīdu īpašajiem mērījumiem, līdz nepieciešama atkārtota pārbaude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Sr-90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Pu-239/Pu-240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0,06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C</w:t>
      </w:r>
      <w:r w:rsidR="00000000" w:rsidRPr="00000000" w:rsidDel="00000000">
        <w:rPr>
          <w:rtl w:val="0"/>
        </w:rPr>
        <w:t xml:space="preserve"> Jutības robežu aprēķina saskaņā ar standartu LVS ISO 11929 "Raksturīgo robežu noteikšana (lēmuma sliekšņvērtība, noteikšanas robeža un ticamības intervāla ierobežojumi) jonizējošā starojuma mērījumiem. Pamatprincipi un pielietojums".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D</w:t>
      </w:r>
      <w:r w:rsidR="00000000" w:rsidRPr="00000000" w:rsidDel="00000000">
        <w:rPr>
          <w:rtl w:val="0"/>
        </w:rPr>
        <w:t xml:space="preserve"> Mērījumu nenoteiktību aprēķina un paziņo kā pilno standarta nenoteiktību vai kā paplašināto standarta nenoteiktību ar paplašināšanas koeficientu 1,96.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Radioaktivitātes atvasinātā koncentrācija dzeramajā ūdenī:</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5"/>
        <w:gridCol w:w="2421"/>
        <w:gridCol w:w="2498"/>
        <w:gridCol w:w="3395"/>
        <w:tblGridChange w:id="0">
          <w:tblGrid>
            <w:gridCol w:w="725"/>
            <w:gridCol w:w="2421"/>
            <w:gridCol w:w="2498"/>
            <w:gridCol w:w="33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Radionuklīda izcelsme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Radionuklīds</w:t>
            </w:r>
            <w:r w:rsidR="00000000" w:rsidRPr="00000000" w:rsidDel="00000000">
              <w:rPr>
                <w:b w:val="1"/>
                <w:vertAlign w:val="superscript"/>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Atvasinātā koncentrācija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U-238</w:t>
            </w:r>
            <w:r w:rsidR="00000000" w:rsidRPr="00000000" w:rsidDel="00000000">
              <w:rPr>
                <w:vertAlign w:val="superscript"/>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U-234</w:t>
            </w:r>
            <w:r w:rsidR="00000000" w:rsidRPr="00000000" w:rsidDel="00000000">
              <w:rPr>
                <w:vertAlign w:val="superscript"/>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Pb-210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Sr-90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Pu-239/Pu-240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Bq/l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A</w:t>
      </w:r>
      <w:r w:rsidR="00000000" w:rsidRPr="00000000" w:rsidDel="00000000">
        <w:rPr>
          <w:rtl w:val="0"/>
        </w:rPr>
        <w:t xml:space="preserve"> Tabulā iekļautas visbiežāk sastopamo dabisko un mākslīgo radionuklīdu vērtības, kuras ir precīzas vērtības, kas aprēķinātas uz 0,1 mSv dozu, pieņemot, ka ūdens patēriņš gadā pieaugušam cilvēkam ir 730 litri, kā arī izmantojot normatīvajos aktos par aizsardzību pret jonizējošo starojumu noteiktās paredzamās efektīvās dozas (Sv/Bq) iedzīvotājiem, ja radionuklīdi tiek uzņemti ar pārtiku vai ūdeni. Citu radionuklīdu atvasināto koncentrāciju var aprēķināt tādā pašā veidā.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B</w:t>
      </w:r>
      <w:r w:rsidR="00000000" w:rsidRPr="00000000" w:rsidDel="00000000">
        <w:rPr>
          <w:rtl w:val="0"/>
        </w:rPr>
        <w:t xml:space="preserve"> Tabulā norādīta tikai urāna radioaktivitāte, bet ne tā ķīmiskais toksiskums.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PFAS summa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Perfluorbutānskābe (PFBA)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Perfluorpentānskābe (PFPA)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Perfluoroheksānskābe (PFHxA)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Perfluoroheptānskābe (PFHpA)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Perfluoroktānskābe (PFOA)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Perfluorononskābe (PFNA)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Perfluorodekanskābe (PFDA)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Perfluoroundekanskābe (PFUnDA)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Perfluorododekanskābe (PFDoDA)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Perfluorotridekanskābe (PFTrDA)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Perfluorbutānsulfonskābe (PFBS)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Perfluorpentānsulfonskābe (PFPS)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Perfluoroheksānsulfonskābe (PFHxS)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Perfluoroheptānsulfonskābe (PFHpS)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Perfluoroktānsulfonskābe (PFOS)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Perfluorononānsulfonskābe (PFNS)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Perfluorodekānsulfonskābe (PFDS)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Perfluoroundekānsulfonskābe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Perfluorododekānsulfonskābe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Perfluorotridekānsulfonskābe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Minētās vielas monitorē, ja riska novērtējumā secināts, ka šīs vielas varētu būt attiecīgajā ūdens piegādē.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22-TA-186</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22-TA-186</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noteikumu_projekts_p4_22-TA-186.docx</dc:title>
</cp:coreProperties>
</file>

<file path=docProps/custom.xml><?xml version="1.0" encoding="utf-8"?>
<Properties xmlns="http://schemas.openxmlformats.org/officeDocument/2006/custom-properties" xmlns:vt="http://schemas.openxmlformats.org/officeDocument/2006/docPropsVTypes"/>
</file>