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24. jūlija noteikumos Nr. 446 "Noteikumi par lauksaimniecības, lauku un zivsaimniecības saimnieciskās darbības veicēju aizdevumu programmu" (Latvijas Vēstnesis, 2018, 149. nr.; 2021, 14. nr.; 2022, 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Aizdevumu programmas finansēšanai, sagaidāmajiem zaudējumiem un pārvaldības izmaksām pieejamais publiskais finansējums ir 30 400 000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Latvijas Lauku attīstības programmas 2007.–2013. gadam pasākumā "Kredītu fonds" atmaksātais finansējums 6 100 000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Rīcības programmas Eiropas Zivsaimniecības fonda atbalsta ieviešanai Latvijā 2007.–2013. gadam pasākumā "Kredītu fonds" atmaksātais finansējums 300 000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Latvijas Lauku attīstības programmas 2014.–2020. gadam īstenošanas pārejas periodā apakšpasākumiem pieejamais finansējums 24 000 000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saimnieciskās darbības veicējam, kas reģistrēts valstī vai teritorijā, kura minēta normatīvajos aktos par zemu nodokļu vai beznodokļu valstīm vai teritorijām, un kam pieder vairāk nekā 25 procenti kapitāldaļu."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regulas Nr. 1407/2013 1. panta 1. punkta "a", "b" un "c" apakšpunktā minētajām nozarēm un "aa", "d" un "e" apakšpunktā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visā Latvijas teritorijā, izņemot valstspilsētas, – lauksaimniecības un lauku saimnieciskās darbības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lauksaimniecības un lauku saimnieciskās darbības nozarē – juridiska vai fiziska persona, kura nodarbojas ar saimniecisko darbību vai plāno to uzsākt un kuras apgrozījums pēdējā noslēgtajā gadā bez saņemtā valsts un Eiropas Savienības atbalsta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"13.2.2. saimnieciskās darbības uzsākšanai – juridiska vai fiziska persona, kura nodarbojas ar saimniecisko darbību vai plāno to uzsākt un kuras apgrozījums pēdējā noslēgtajā gadā bez saņemtā valsts un Eiropas Savienības atbalsta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Aizdevuma atmaksas termiņš nepārsniedz 10 gadu, ievērojot saimnieciskās darbības veicēja ražošanas ciklu. Nekustamā īpašuma iegādes, jaunas būves būvniecības, pārbūves, inženiertīklu ierīkošanas, kā arī būves atjaunošanas projektos, ja būvi nepieciešams tehniski vai funkcionāli uzlabot ražošanas vai pakalpojumu sniegšanas vajadzībām, aizdevuma atmaksas termiņš nepārsniedz 15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Aizdevuma maksimālā summa nepārsniedz 250 000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investīciju iegādei;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apgrozāmo līdzekļu iegādei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apbūvētas un neapbūvētas zemes iegādei, ja tā ir daļa no īstenojamā projekta, – 50 000 </w:t>
      </w:r>
      <w:r w:rsidR="00000000" w:rsidRPr="00000000" w:rsidDel="00000000">
        <w:rPr>
          <w:i w:val="1"/>
          <w:rtl w:val="0"/>
        </w:rPr>
        <w:t xml:space="preserve">euro</w:t>
      </w:r>
      <w:r w:rsidR="00000000" w:rsidRPr="00000000" w:rsidDel="00000000">
        <w:rPr>
          <w:rtl w:val="0"/>
        </w:rPr>
        <w:t xml:space="preserve">, ja aizdevums ir sniegts, izmantojot šo noteikumu 4.1. vai 4.2. apakšpunktā minēto finansējumu, vai nepārsniedz 10 procentu no kopējās aizdevuma summas, ja aizdevums ir sniegts, izmantojot šo noteikumu 4.3.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Ja investīciju aizdevuma summa vai aizdevumu kopsumma (ja aizdevums ir atkārtots)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uzņēmējdarbības projekta īstenošanai vismaz 10 procentu apmērā no aizdevuma pieteikumā paredzētās investīciju aizdevuma summas. Saimnieciskās darbības veicējs aizdevuma pieteikumā paredzētās saimnieciskās darbības līdzfinansēšanai izmanto savus resursus vai ārējo finansējumu, kas nav saistīts ar komercdarbības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Subsīdijas ekvivalentu saimnieciskās darbības veicējam aprēķina, faktiski samaksāto procentu summu atskaitot no procentu summas, kas jāmaksā saskaņā ar Eiropas Komisijas konkrētajam periodam noteikto bāzes likmi, kā arī riska likmi, kuras procentuālais apmērs tiek noteikts atbilstoši finanšu institūcijas izsniegtajam aizdevuma saņēmēja reitingam un piedāvātajam nodrošinājumam (publicēta Eiropas Komisijas Konkurences ģenerāldirektorāta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Vienam saimnieciskās darbības veicējam viena vienota uzņēmuma līmenī piešķirtā </w:t>
      </w:r>
      <w:r w:rsidR="00000000" w:rsidRPr="00000000" w:rsidDel="00000000">
        <w:rPr>
          <w:i w:val="1"/>
          <w:rtl w:val="0"/>
        </w:rPr>
        <w:t xml:space="preserve">de minimis</w:t>
      </w:r>
      <w:r w:rsidR="00000000" w:rsidRPr="00000000" w:rsidDel="00000000">
        <w:rPr>
          <w:rtl w:val="0"/>
        </w:rPr>
        <w:t xml:space="preserve"> atbalsta kopējā summa nepārsniedz regulas Nr. 1407/2013 3. panta 2. punktā, regulas Nr. 1408/2013 3. panta 3.a punktā vai regulas Nr. 717/2014 3. panta 2.a punktā noteikto ierobežojumu. Atbalstu uzskaita saskaņā ar normatīvajiem aktiem par </w:t>
      </w:r>
      <w:r w:rsidR="00000000" w:rsidRPr="00000000" w:rsidDel="00000000">
        <w:rPr>
          <w:i w:val="1"/>
          <w:rtl w:val="0"/>
        </w:rPr>
        <w:t xml:space="preserve">de minimis</w:t>
      </w:r>
      <w:r w:rsidR="00000000" w:rsidRPr="00000000" w:rsidDel="00000000">
        <w:rPr>
          <w:rtl w:val="0"/>
        </w:rPr>
        <w:t xml:space="preserve"> atbalsta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Saskaņā ar regulas Nr. 1407/2013 5. panta 1. un 2. punktu, regulas Nr. 1408/2013 5. panta 1. un 2. punktu un regulas Nr. 717/2014 5. panta 1. un 2.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attiecīgi līdz regulas Nr. 1407/2013 3. panta 2. punktā, regulas Nr. 1408/2013 3. panta 3.a punktā un regulas Nr. 717/2014 3. panta 2.a punktā noteiktajam robežlielumam vai ar citu valsts atbalstu attiecībā uz vienām un tām pašām attiecināmajām izmaksām, vai ar citu valsts atbalstu tam pašam riska finansējuma pasākumam, ja netiek pārsniegta maksimālā atbalsta intensitāte vai atbalsta summa, kāda noteikta valsts atbalsta programmā vai Eiropas Komisijas lēmumā."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23-TA-1010</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23-TA-1010</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noteikumu_(grozījumu)_projekts_23-TA-1010.docx</dc:title>
</cp:coreProperties>
</file>

<file path=docProps/custom.xml><?xml version="1.0" encoding="utf-8"?>
<Properties xmlns="http://schemas.openxmlformats.org/officeDocument/2006/custom-properties" xmlns:vt="http://schemas.openxmlformats.org/officeDocument/2006/docPropsVTypes"/>
</file>