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17. februārī (prot. Nr. 7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22. augusta noteikumos Nr. 475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 (Latvijas Vēstnesis, 2023, 164. nr.; 2024, 133., 173. nr.; 2025, 74.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līdz 2026. gada 31. augustam –  312 ilgstošas aprūpes pakalpojumu sniegšanas vietu nodrošināšana."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"8.2.1. finansējuma saņēmēja iesniegta būvniecības jomu regulējošajos normatīvajos aktos paredzētā apliecinājuma par ēku nodošanu ekspluatācijā vai apliecinājuma par ēku gatavību nodošanai ekspluatācijā kopija vai izdruka;".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8.2.3.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"8.2.3. finansējuma saņēmēja iesniegta dokumenta par aprīkojuma nodrošināšanu kopija."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Investīcijas otrās kārtas Atveseļošanas fonda finansējums ir 24 895 965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Maksimālais ēku skaits, ko projekta iesniedzējs var paredzēt vienā investīcijas otrās kārtas projekta iesniegumā, lai veidotu ģimeniskai videi pietuvinātu pakalpojumu un saņemtu Atveseļošanas fonda finansējumu, ir trīs ēkas. Projekta iesniedzējs katrā projektu iesniegumu atlasē var iesniegt vienu projekta iesniegumu par ēku izveidi vienā administratīvajā teritorijā."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Izmaksas šo noteikumu 31.6. apakšpunktā minētās atbalstāmās darbības īstenošanai finansējuma saņēmējs var plānot kā vienu izmaksu pozīciju trīs procentu apmērā no projektam pieejamā Atveseļošanas fonda finansējuma."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Pēc šo noteikumu 30. punktā minētā līguma noslēgšanas finansējuma saņēmējs var pieprasīt aģentūrai veikt avansa maksājumu, starpposma maksājumus un noslēguma maksājumu, ievērojot šādu maksājumu pieprasīšanas un veikšanas kārtību un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 avansa maksājumu pieprasa un veic šādā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38.1.1. finansējuma saņēmējs sagatavo pieprasījumu avansa maksājumam, kurā pamato avansa maksājuma nepieciešamību un apmēru. Avansa maksājumu var veikt vairākos maksājumos, nākamo avansa daļu izmaksājot pēc tam, kad iepriekšējā ir apgūta pilnā apmērā. Avansa maksājuma apmērs nevar pārsniegt 50 procentus no projektam pieejamā Atveseļošanas fonda finansējuma apmēra, un tas šo noteikumu 14.1. apakšpunktā  minētajam finansējuma saņēmējam ir jāizmanto sešu mēnešu laikā no tā saņemšanas dienas saimnieciskā gada ietvaros, bet šo noteikumu 14.2. apakšpunktā minētajam finansējuma saņēmējam – sešu mēnešu laikā no tā saņemšanas dienas. Avansa izmantošanas termiņu var pagarināt, iesniedzot aģentūrai pamatojumu termiņa pagarināšanai;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38.1.2. aģentūra pārbauda šo noteikumu 38.1.1. apakšpunktā minēto pieprasījumu avansa maksājumam un, ja aģentūrai nav iebildumu par avansa maksājuma pamatojumu, veic avansa maksājumu;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38.2. starpposma maksājumu pieprasa un veic šādā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38.2.1. finansējuma saņēmējs sagatavo pieprasījumu starpposma maksājumam, kurā pamato investīcijas otrās kārtas projektā faktiski veiktās izmaksas un starpposma maksājuma apmēru. Pieprasījumu starpposma maksājumam finansējuma saņēmējs var iesniegt arī laikposmā, kad finansējuma saņēmējs izmanto šo noteikumu 38.1.1. apakšpunktā minēto avansa maksājumu;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38.2.2. ja investīcijas otrās kārtas projektā šo noteikumu 7.2. apakšpunktā minētā mērķrādītāja sasniegšanu apliecina šo noteikumu 8.2.1. apakšpunktā minētā apliecinājuma par ēku gatavību nodošanai ekspluatācijā kopija vai izdruka, finansējuma saņēmējs ne vēlāk kā līdz 2026. gada 15. augustam (ieskaitot) iesniedz pieprasījumu starpposma maksājumam, kurā pamato šo noteikumu 7.2. apakšpunktā minētā mērķrādītāja sasniegšanu, un pievieno tam šo noteikumu 8.2. apakšpunktā minēto dokumentu un informācijas kopumu;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38.2.3. aģentūra pārbauda šo noteikumu 38.2.1.  un 38.2.2. apakšpunktā minēto pieprasījumu starpposma maksājumam un, ja aģentūrai nav iebildumu par starpposma maksājuma pamatojumu, veic starpposma maksājumu;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38.3. noslēguma maksājumu pieprasa un veic šādā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38.3.1. ja investīcijas otrās kārtas projektā šo noteikumu 7.2. apakšpunktā minētā mērķrādītāja sasniegšanu apliecina šo noteikumu 8.2.1. apakšpunktā  minētā apliecinājuma par ēku nodošanu ekspluatācijā kopija vai izdruka, finansējuma saņēmējs līdz 2026. gada 15. augustam (ieskaitot) sagatavo pieprasījumu noslēguma maksājumam, kurā pamato investīcijas otrās kārtas projektā faktiski veiktās izmaksas, to apmēru un šo noteikumu 7.2. apakšpunktā minētā mērķrādītāja sasniegšanu, tai skaitā ietverot šo noteikumu 8.2. apakšpunktā  minēto dokumentu un informācijas kopumu;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38.3.2. ja investīcijas otrās kārtas projektā šo noteikumu 7.2. apakšpunktā  minētā mērķrādītāja sasniegšanu apliecina šo noteikumu 8.2.1. apakšpunktā minētā apliecinājuma par ēku gatavību nodošanai ekspluatācijā kopija vai izdruka, finansējuma saņēmējs pieprasījumu noslēguma maksājumam var iesniegt ne vēlāk kā līdz 2026. gada 15. novembrim (ieskaitot), pievienojot šo noteikumu  8.2.1. apakšpunktā  minētā apliecinājuma par ēku nodošanu ekspluatācijā kopiju vai izdruku;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38.3.3. aģentūra pārbauda šo noteikumu 38.3.1. un 38.3.2. apakšpunktā minēto pieprasījumu noslēguma maksājumam un, ja aģentūrai nav iebildumu par noslēguma maksājuma pamatojumu, veic noslēguma maksājumu;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38.4. aģentūra, veicot avansa un starpposma maksājumus finansējuma saņēmējam, nodrošina, ka avansa un starpposma maksājumos norādītā Atveseļošanas fonda finansējuma kopsumma nepārsniedz 90 procentus no projektam pieejamā Atveseļošanas fonda finansējuma apmēra."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40.1.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 šo noteikumu 31.1., 31.2. un 31.4. apakšpunktā minētās atbalstāmās darbības īstenošanai izmanto investīcijas pirmās kārtas ietvaros izveidoto tipveida būvprojektu ģimeniskai videi pietuvinātā pakalpojuma izveidei (turpmāk – tipveida būvprojekts) un ievēro šo noteikumu 30.8. apakšpunktā minētos ģimeniskai videi pietuvinātu pakalpojumu nodrošināšanas principus. Izmantojot tipveida būvprojektu, finansējuma saņēmējs nodrošina: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40.1.1. griestu sliežu sistēmu risinājumu, kas nesamazina aprūpes nodrošinājumu ģimeniskai videi pietuvināta pakalpojuma sniegšanai. Ēkā var paredzēt alternatīvu griestu sliežu izbūves risinājumu tam, kāds tas noteikts tipveida būvprojektā;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40.1.2. griestu sliežu sistēmu izbūvi vismaz trijās šo noteikumu 4. punktā minētās mērķa grupas personu guļamistabās katrā ēkas daļā;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40.1.3. mobilo pacēlāju iegādi, ja griestu sliežu sistēmu neizbūvē koplietošanas telpās, paredzot vismaz vienu mobilo pacēlāju katrā ēkas daļā un vienu mobilo pacēlāju ar maksimālo slodzi, ne mazāku par 300 kg;".</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41.2.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piesaistot personālu šo noteikumu 31.6. apakšpunktā minēto atbalstāmo darbību veikšanai, nodrošina, ka projekta vadībā un īstenošanā iesaistītie darbinieki ir informēti par korupcijas un interešu konflikta novēršanas jautājumiem un krāpšanas pazīmēm, pienākumu ziņot par pārkāpumiem, kā arī ir informēti par ziņotāju aizsardzību atbilstoši Trauksmes celšanas likumam;".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41.2.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w:t>
      </w:r>
      <w:r w:rsidR="00000000" w:rsidRPr="00000000" w:rsidDel="00000000">
        <w:rPr>
          <w:vertAlign w:val="superscript"/>
          <w:rtl w:val="0"/>
        </w:rPr>
        <w:t xml:space="preserve">1</w:t>
      </w:r>
      <w:r w:rsidR="00000000" w:rsidRPr="00000000" w:rsidDel="00000000">
        <w:rPr>
          <w:rtl w:val="0"/>
        </w:rPr>
        <w:t xml:space="preserve"> nodrošina, ka projekta īstenošanas laikā atbilstoši Eiropas Parlamenta un Padomes 2024. gada 23. septembra Regulas (ES, Euratom) 2024/2509 par finanšu noteikumiem, ko piemēro Savienības vispārējam budžetam (pārstrādātā redakcija), 61. pantam un normatīvajiem aktiem iepirkumu jomā tiek ievēroti interešu konflikta, korupcijas un krāpšanas novēršanas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41.8.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"41.8. nodrošinot normatīvajos aktos par Atveseļošanas fonda plāna īstenošanas un uzraudzības kārtību noteiktā pienākuma izpildi attiecībā uz informācijas ievadi vadības informācijas sistēmā Atveseļošanas fonda plāna īstenošanas progresa pusgada ziņojuma un ikgadējā maksājuma pieprasījuma sagatavošanai, datus uzkrāj un ievada vadības informācijas sistēmā līdz kārtējā gada 10. janvārim (ar statusu uz iepriekšējā gada 31. decembri) un 10. jūlijam (ar statusu uz kārtējā gada 30. jūniju). Atveseļošanas fonda plāna noslēguma ziņojuma un maksājuma pieprasījuma sagatavošanai datus uzkrāj un ievada vadības informācijas sistēmā šo noteikumu 30. punktā minētajā līgumā noteiktajā termiņā, bet ne vēlāk kā līdz 2026. gada 15. augustam;".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48.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Investīcijas otro kārtu īsteno līdz 2026. gada 31. decembrim, bet investīcijas otrās kārtas projektus – līdz 2026. gada 15. novembrim."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25-TA-1630</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25-TA-1630</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noteikumu_(grozījumu)_projekts_25-TA-1630.docx</dc:title>
</cp:coreProperties>
</file>

<file path=docProps/custom.xml><?xml version="1.0" encoding="utf-8"?>
<Properties xmlns="http://schemas.openxmlformats.org/officeDocument/2006/custom-properties" xmlns:vt="http://schemas.openxmlformats.org/officeDocument/2006/docPropsVTypes"/>
</file>