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23. novembrī (prot. Nr. 59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107 049 </w:t>
      </w:r>
      <w:r w:rsidR="00000000" w:rsidRPr="00000000" w:rsidDel="00000000">
        <w:rPr>
          <w:i w:val="1"/>
          <w:rtl w:val="0"/>
        </w:rPr>
        <w:t xml:space="preserve">euro </w:t>
      </w:r>
      <w:r w:rsidR="00000000" w:rsidRPr="00000000" w:rsidDel="00000000">
        <w:rPr>
          <w:rtl w:val="0"/>
        </w:rPr>
        <w:t xml:space="preserve">apmērā samaksai ģimenes ārstu praksēm, kuras veic vakcināciju pret Covid-19, par tajās nodarbināto personu veselības veicināšanas un rehabilitācijas pasākumiem, kas īstenoti laikposmā no 2021. gada 1. oktobra līdz 2022. gada 31. augustam.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1. punktā minēto finansējumu piešķir atbilstoši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22-TA-3157</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22-TA-3157</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rīkojuma_projekts_22-TA-3157.docx</dc:title>
</cp:coreProperties>
</file>

<file path=docProps/custom.xml><?xml version="1.0" encoding="utf-8"?>
<Properties xmlns="http://schemas.openxmlformats.org/officeDocument/2006/custom-properties" xmlns:vt="http://schemas.openxmlformats.org/officeDocument/2006/docPropsVTypes"/>
</file>