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372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2026. gada 30. jūnijā (prot. Nr. 35 39.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fondu 2021.–2027. gada plānošanas perioda vadības likuma 19.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 (Latvijas Vēstnesis, 2023, 198. nr.; 2024, 103.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pasākumam pieejamo kopējo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Pasākuma ietvaros pieejamais kopējais attiecināmais finansējums ir 17 400 000 </w:t>
      </w:r>
      <w:r w:rsidR="00000000" w:rsidRPr="00000000" w:rsidDel="00000000">
        <w:rPr>
          <w:i w:val="1"/>
          <w:rtl w:val="0"/>
        </w:rPr>
        <w:t xml:space="preserve">euro</w:t>
      </w:r>
      <w:r w:rsidR="00000000" w:rsidRPr="00000000" w:rsidDel="00000000">
        <w:rPr>
          <w:rtl w:val="0"/>
        </w:rPr>
        <w:t xml:space="preserve">, tai skaitā Eiropas Reģionālās attīstības fonda finansējums 14 790 000 </w:t>
      </w:r>
      <w:r w:rsidR="00000000" w:rsidRPr="00000000" w:rsidDel="00000000">
        <w:rPr>
          <w:i w:val="1"/>
          <w:rtl w:val="0"/>
        </w:rPr>
        <w:t xml:space="preserve">euro </w:t>
      </w:r>
      <w:r w:rsidR="00000000" w:rsidRPr="00000000" w:rsidDel="00000000">
        <w:rPr>
          <w:rtl w:val="0"/>
        </w:rPr>
        <w:t xml:space="preserve">un nacionālais finansējums (valsts budžeta līdzfinansējums 750 000 </w:t>
      </w:r>
      <w:r w:rsidR="00000000" w:rsidRPr="00000000" w:rsidDel="00000000">
        <w:rPr>
          <w:i w:val="1"/>
          <w:rtl w:val="0"/>
        </w:rPr>
        <w:t xml:space="preserve">euro</w:t>
      </w:r>
      <w:r w:rsidR="00000000" w:rsidRPr="00000000" w:rsidDel="00000000">
        <w:rPr>
          <w:rtl w:val="0"/>
        </w:rPr>
        <w:t xml:space="preserve"> un pašvaldības līdzfinansējums vismaz 1 860 000 </w:t>
      </w:r>
      <w:r w:rsidR="00000000" w:rsidRPr="00000000" w:rsidDel="00000000">
        <w:rPr>
          <w:i w:val="1"/>
          <w:rtl w:val="0"/>
        </w:rPr>
        <w:t xml:space="preserve">euro</w:t>
      </w:r>
      <w:r w:rsidR="00000000" w:rsidRPr="00000000" w:rsidDel="00000000">
        <w:rPr>
          <w:rtl w:val="0"/>
        </w:rPr>
        <w:t xml:space="preserve">) vismaz 2 610 000 </w:t>
      </w:r>
      <w:r w:rsidR="00000000" w:rsidRPr="00000000" w:rsidDel="00000000">
        <w:rPr>
          <w:i w:val="1"/>
          <w:rtl w:val="0"/>
        </w:rPr>
        <w:t xml:space="preserve">euro</w:t>
      </w:r>
      <w:r w:rsidR="00000000" w:rsidRPr="00000000" w:rsidDel="00000000">
        <w:rPr>
          <w:rtl w:val="0"/>
        </w:rPr>
        <w:t xml:space="preserve">. Pašvaldības finansējums var pārsniegt 15 procentus no projekta kopējām attiecināmajām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 12.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 13.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18.1.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"18.1. Nacionālā dokumentārā mantojuma un Nacionālā muzeju krājuma saglabāšanas infrastruktūras izveidei Cēsīs – ne vairāk kā 10 540 000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21.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Projekta iesniedzējs pasākuma ietvaros projekta īstenošanai var piesaistīt sadarbības partneri – pašvaldību, pašvaldības iestādi, pašvaldības kapitālsabiedrību, valsts kapitālsabiedrību vai Latvijas Nacionālo arhīvu."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25.1.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"25.1. tas atbilst grūtībās nonākuša komersanta (grupas līmenī) statusam saskaņā ar regulas Nr. 651/2014 2. panta 18. punktā minēto definīciju;".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31.8.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"31.8. nodrošina interešu konflikta neesību."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Svītrot 35.1.1.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 35.1.2.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35.12.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"35.12. šo noteikumu 35.2. un 35.3. apakšpunktā minētās izmaksas, nepārsniedzot 10 procentus no projekta plānotajām kopējām attiecināmajām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36.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"36. Plānojot projekta tiešās attiecināmās personāla atlīdzības izmaksas, pamatojoties uz darba līgumu vai rīkojumu par pretendenta iecelšanu ierēdņa amatā, finansējuma saņēmējs un sadarbības partneris nodrošina, ka projekta vadības personāls un projekta īstenošanas personāls tiek piesaistīts uz normālu darba laiku vai nepilnu darba laiku, tai skaitā atlīdzībai var piemērot daļlaika izmaksu attiecināmības principu. Ja personāla atlīdzībai piemēro daļlaika attiecināmības principu, finansējuma saņēmējs veic personāla darba laika uzskaiti par nostrādāto laiku un veiktajām funkcijām."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44.3.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"44.3. komercdarbības atbalsts netiek sniegts finansējuma saņēmējam un sadarbības partnerim (grupas līmenī), uz kuru attiecas līdzekļu atgūšanas rīkojums saskaņā ar iepriekšēju Eiropas Komisijas lēmumu, ar ko atbalsts tiek atzīts par nelikumīgu un nesaderīgu ar kopējo tirgu, atbilstoši regulas Nr. 651/2014 1. panta 4. punkta "a" apakšpunkta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49.1.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"49.1. regulas Nr. 651/2014 9. panta 1. punkta "c" apakšpunktā un 4. punktā noteikto publicitātes pasākumu izpildi atbilstoši normatīvajam aktam par kārtību, kādā publicē informāciju par sniegto komercdarbības atbalstu;".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Kulbergs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N. Puntulis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26-TA-890</w:t>
    </w:r>
    <w:r>
      <w:br/>
    </w:r>
    <w:r w:rsidR="00000000" w:rsidRPr="00000000" w:rsidDel="00000000">
      <w:rPr>
        <w:rtl w:val="0"/>
      </w:rPr>
      <w:t xml:space="preserve">Izdrukāts 29.07.2026. 22.57 - 1.0.VK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26-TA-890</w:t>
    </w:r>
    <w:r>
      <w:br/>
    </w:r>
    <w:r w:rsidR="00000000" w:rsidRPr="00000000" w:rsidDel="00000000">
      <w:rPr>
        <w:rtl w:val="0"/>
      </w:rPr>
      <w:t xml:space="preserve">Izdrukāts 29.07.2026. 22.57 - 1.0.VK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noteikumu_(grozījumu)_projekts_26-TA-890.docx</dc:title>
</cp:coreProperties>
</file>

<file path=docProps/custom.xml><?xml version="1.0" encoding="utf-8"?>
<Properties xmlns="http://schemas.openxmlformats.org/officeDocument/2006/custom-properties" xmlns:vt="http://schemas.openxmlformats.org/officeDocument/2006/docPropsVTypes"/>
</file>