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2023. gada 15. augusta noteikumos Nr. 455 "Cilvēkiem paredzēto medicīnisko ierīču klīnisko pētījumu un </w:t>
      </w:r>
      <w:r w:rsidR="00000000" w:rsidRPr="00000000" w:rsidDel="00000000">
        <w:rPr>
          <w:rStyle w:val="paragraph_header"/>
          <w:b w:val="1"/>
          <w:i w:val="1"/>
          <w:rtl w:val="0"/>
        </w:rPr>
        <w:t xml:space="preserve">in vitro</w:t>
      </w:r>
      <w:r w:rsidR="00000000" w:rsidRPr="00000000" w:rsidDel="00000000">
        <w:rPr>
          <w:rStyle w:val="paragraph_header"/>
          <w:b w:val="1"/>
          <w:rtl w:val="0"/>
        </w:rPr>
        <w:t xml:space="preserve"> diagnostikas medicīnisko ierīču veiktspējas pētījumu veikšanas kārtība""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25-TA-1324</w:t>
    </w:r>
    <w:r>
      <w:br/>
    </w:r>
    <w:r w:rsidR="00000000" w:rsidRPr="00000000" w:rsidDel="00000000">
      <w:rPr>
        <w:rtl w:val="0"/>
      </w:rPr>
      <w:t xml:space="preserve">Izdrukāts 29.07.2026. 23.16 - 1.0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mk_sēdes_protokollēmuma_projekts_25-TA-1324.docx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