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11. februāra noteikumos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11. februāra noteikumos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 (Latvijas Vēstnesis, 2025, 31., 85.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Pasākuma ceturtās kārtas ietvaros līdz 2029. gada 31. decembrim ir sasniedzams šāds programmas uzraudzības rādītājs: programmas iznākuma rādītājs – sociālās atstumtības riskam pakļautas personas, kuras ir saņēmušas sabiedrībā balstītus sociālos pakalpojumus, – 1813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Pasākuma ceturtajai kārtai plānotais un pieejamais kopējais attiecināmais finansējums ir 15 461 615 </w:t>
      </w:r>
      <w:r w:rsidR="00000000" w:rsidRPr="00000000" w:rsidDel="00000000">
        <w:rPr>
          <w:i w:val="1"/>
          <w:rtl w:val="0"/>
        </w:rPr>
        <w:t xml:space="preserve">euro</w:t>
      </w:r>
      <w:r w:rsidR="00000000" w:rsidRPr="00000000" w:rsidDel="00000000">
        <w:rPr>
          <w:rtl w:val="0"/>
        </w:rPr>
        <w:t xml:space="preserve">, tai skaitā Eiropas Sociālā fonda Plus finansējums – 13 142 372 </w:t>
      </w:r>
      <w:r w:rsidR="00000000" w:rsidRPr="00000000" w:rsidDel="00000000">
        <w:rPr>
          <w:i w:val="1"/>
          <w:rtl w:val="0"/>
        </w:rPr>
        <w:t xml:space="preserve">euro </w:t>
      </w:r>
      <w:r w:rsidR="00000000" w:rsidRPr="00000000" w:rsidDel="00000000">
        <w:rPr>
          <w:rtl w:val="0"/>
        </w:rPr>
        <w:t xml:space="preserve">un nacionālais līdzfinansējums – 2 319 243 </w:t>
      </w:r>
      <w:r w:rsidR="00000000" w:rsidRPr="00000000" w:rsidDel="00000000">
        <w:rPr>
          <w:i w:val="1"/>
          <w:rtl w:val="0"/>
        </w:rPr>
        <w:t xml:space="preserve">euro</w:t>
      </w:r>
      <w:r w:rsidR="00000000" w:rsidRPr="00000000" w:rsidDel="00000000">
        <w:rPr>
          <w:rtl w:val="0"/>
        </w:rPr>
        <w:t xml:space="preserve">, ko veido valsts un pašvaldību budžeta finansējums. Pašvaldību budžetu kā līdzfinansējuma avotu projektā plāno šo noteikumu 14.1. apakšpunktā minētie projektu iesniedzēji, savukārt valsts budžetu – šo noteikumu 14.2. apakšpunktā minētie projektu iesniedzēji."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nodrošina komunikācijas un vizuālās identitātes prasības, kas noteiktas regulas 2021/1060 47. un 50. pantā un normatīvajos aktos par kārtību, kādā Eiropas Savienības fondu vadībā iesaistītās institūcijas nodrošina šo fondu ieviešanu 2021.–2027. gada plānošanas periodā, tai skaitā savā tīmekļvietnē (ja tāda ir) un sociālajos tīklos ievieto informāciju par projekta īstenošanu un aktualizē to, tiklīdz pieejama jaunāka informācija, bet ne retāk kā reizi sešos mēnešos;".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29.3.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30.1.2. apakšpunktu.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25-TA-1558</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25-TA-1558</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noteikumu_(grozījumu)_projekts_25-TA-1558.docx</dc:title>
</cp:coreProperties>
</file>

<file path=docProps/custom.xml><?xml version="1.0" encoding="utf-8"?>
<Properties xmlns="http://schemas.openxmlformats.org/officeDocument/2006/custom-properties" xmlns:vt="http://schemas.openxmlformats.org/officeDocument/2006/docPropsVTypes"/>
</file>