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br/>
      </w:r>
      <w:r w:rsidR="00000000" w:rsidRPr="00000000" w:rsidDel="00000000">
        <w:rPr>
          <w:rStyle w:val="paragraph"/>
          <w:i w:val="1"/>
          <w:rtl w:val="0"/>
        </w:rPr>
        <w:t xml:space="preserve">4. panta 3.</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un 3.</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 un 30.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250. nr.; 2024, 138.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bērniem pirmsskolas izglītības programmās, tai skaitā šo noteikumu 7.1. apakšpunktā minētajiem bērniem, – 132,81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w:t>
      </w:r>
      <w:r w:rsidR="00000000" w:rsidRPr="00000000" w:rsidDel="00000000">
        <w:rPr>
          <w:rtl w:val="0"/>
        </w:rPr>
        <w:t xml:space="preserve">1.–6. klases skolēniem – 125,10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w:t>
      </w:r>
      <w:r w:rsidR="00000000" w:rsidRPr="00000000" w:rsidDel="00000000">
        <w:rPr>
          <w:rtl w:val="0"/>
        </w:rPr>
        <w:t xml:space="preserve">7.–9. klases skolēniem – 161,21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10.–12. klases skolēniem, tai skaitā šo noteikumu 7.3. apakšpunktā minētajiem skolēniem, – 173,23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šo noteikumu 4.2. apakšpunktā un 9. punktā minētajiem 1.–9. klases skolēniem – 143,15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šo noteikumu 7.1. un 7.2. apakšpunktā minētajiem 1.–12. klases skolēniem – 152,77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Ministrija piešķir papildu finansējumu to pedagogu darba samaksai, kuri īsteno pamatizglītības programmas mācību gadā, kurā pāriet uz izglītības satura īstenošanu valsts valodā izglītojamiem, kuri mazākumtautību izglītības programmas apguvuši iepriekšējā mācību gadā. Papildu finansējums tiek aprēķināts, ņemot vērā šo izglītojamo skaitu sistēmā kārtējā gada 1. septembrī, atbilstoši 20,68 </w:t>
      </w:r>
      <w:r w:rsidR="00000000" w:rsidRPr="00000000" w:rsidDel="00000000">
        <w:rPr>
          <w:i w:val="1"/>
          <w:rtl w:val="0"/>
        </w:rPr>
        <w:t xml:space="preserve">euro </w:t>
      </w:r>
      <w:r w:rsidR="00000000" w:rsidRPr="00000000" w:rsidDel="00000000">
        <w:rPr>
          <w:rtl w:val="0"/>
        </w:rPr>
        <w:t xml:space="preserve">mērķdotācijas apmēram uz vienu izglītojamo pamatizglītības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5</w:t>
      </w:r>
      <w:r w:rsidR="00000000" w:rsidRPr="00000000" w:rsidDel="00000000">
        <w:rPr>
          <w:rtl w:val="0"/>
        </w:rPr>
        <w:t xml:space="preserve"> Šo noteikumu 8.</w:t>
      </w:r>
      <w:r w:rsidR="00000000" w:rsidRPr="00000000" w:rsidDel="00000000">
        <w:rPr>
          <w:vertAlign w:val="superscript"/>
          <w:rtl w:val="0"/>
        </w:rPr>
        <w:t xml:space="preserve">3</w:t>
      </w:r>
      <w:r w:rsidR="00000000" w:rsidRPr="00000000" w:rsidDel="00000000">
        <w:rPr>
          <w:rtl w:val="0"/>
        </w:rPr>
        <w:t xml:space="preserve"> punkts zaudē spēku 2025. gada 1. janvārī.";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6</w:t>
      </w:r>
      <w:r w:rsidR="00000000" w:rsidRPr="00000000" w:rsidDel="00000000">
        <w:rPr>
          <w:rtl w:val="0"/>
        </w:rPr>
        <w:t xml:space="preserve"> Šo noteikumu 8.</w:t>
      </w:r>
      <w:r w:rsidR="00000000" w:rsidRPr="00000000" w:rsidDel="00000000">
        <w:rPr>
          <w:vertAlign w:val="superscript"/>
          <w:rtl w:val="0"/>
        </w:rPr>
        <w:t xml:space="preserve">4</w:t>
      </w:r>
      <w:r w:rsidR="00000000" w:rsidRPr="00000000" w:rsidDel="00000000">
        <w:rPr>
          <w:rtl w:val="0"/>
        </w:rPr>
        <w:t xml:space="preserve"> punkts zaudē spēku 2026. gada 1. jūnijā."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24-TA-2554</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24-TA-2554</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noteikumu_(grozījumu)_projekts_24-TA-2554.docx</dc:title>
</cp:coreProperties>
</file>

<file path=docProps/custom.xml><?xml version="1.0" encoding="utf-8"?>
<Properties xmlns="http://schemas.openxmlformats.org/officeDocument/2006/custom-properties" xmlns:vt="http://schemas.openxmlformats.org/officeDocument/2006/docPropsVTypes"/>
</file>