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"Ilgtspējīga TEN-T infrastruktūra" 3.2.1. specifiskā atbalsta mērķi "Attīstīt un izvērst ilgtspējīgu, klimatnoturīgu, intelektisku un intermodālu mobilitāti valsts, reģionālā un vietējā līmenī, tostarp uzlabotu piekļuvi TEN-T un pārrobežu mobilitāti"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uzlabot efektīvus savienojumus Daugavpils pilsētā un Latgales reģionā, pārbūvējot Vienības tiltu Daugavpilī.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plānotais un pieejamais kopējais finansējums ir ne mazāks kā 5 086 621 </w:t>
      </w:r>
      <w:r w:rsidR="00000000" w:rsidRPr="00000000" w:rsidDel="00000000">
        <w:rPr>
          <w:i w:val="1"/>
          <w:rtl w:val="0"/>
        </w:rPr>
        <w:t xml:space="preserve">euro</w:t>
      </w:r>
      <w:r w:rsidR="00000000" w:rsidRPr="00000000" w:rsidDel="00000000">
        <w:rPr>
          <w:rtl w:val="0"/>
        </w:rPr>
        <w:t xml:space="preserve">, tai skaitā Eiropas Reģionālās attīstības fonda finansējums nepārsniedz 4 323 627 </w:t>
      </w:r>
      <w:r w:rsidR="00000000" w:rsidRPr="00000000" w:rsidDel="00000000">
        <w:rPr>
          <w:i w:val="1"/>
          <w:rtl w:val="0"/>
        </w:rPr>
        <w:t xml:space="preserve">euro</w:t>
      </w:r>
      <w:r w:rsidR="00000000" w:rsidRPr="00000000" w:rsidDel="00000000">
        <w:rPr>
          <w:rtl w:val="0"/>
        </w:rPr>
        <w:t xml:space="preserve"> un nacionālais līdzfinansējums (pašvaldības finansējums) nav mazāks par 762 994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 no projektā plānotā kopējā attiecināmā finansējuma, ņemot vērā izmaksu un ieguvumu analīzē iegūto rezultātu.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projekta īstenošanā var piesaistīt papildu publiskos līdzekļus attiecināmo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līdz 2029.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0,31 kilometri rekonstruētu vai modernizētu autoceļu – ārpus Eiropas transporta tīkla (turpmāk - TEN-T);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jaunuzbūvēto, rekonstruēto, jaunināto vai modernizēto autoceļu lietotāju skaits – 4 186 131 pasažierkilometrs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minētais rādītājs ir sasniegts, kad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objekts ir nodots ekspluatācijā saskaņā ar būvniecības jomu reglamentējošajos normatīvajos aktos noteikto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atbildīgās iestādes funkcijas pilda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Atbalsts specifiskā atbalsta ietvaros nav kvalificējams kā komercdarbības atbalsts, jo atbalsts tiek sniegts, lai pārbūvētu vispārējo publisko infrastruktūru, kas pēc pieņemšanas ekspluatācijā būs pieejama ikvienam bez diskriminācijas un ierobežojumiem.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specifiskā atbalsta ietvaros ir Daugavpils valstspilsētas pašvaldība.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Infrastruktūra, kurā plānotas investīcijas specifiskā atbalsta ietvaros, atrodas Daugavpils valstspilsētas pašvaldības īpašumā.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sadarbības iestādē, izmantojot Kohēzijas politikas fondu vadības informācijas sistēmu, kā arī pievieno projektam veikto izmaksu un ieguvumu analīzi.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iesniegumā ir pamatots, ka projekta iesniegumā ietvertās darbības nodrošina militārās mobilitātes iespējas, tādējādi stiprinot drošību Latvijas Austrumu pierobežā. Projekta iesniegumam pievieno Aizsardzības ministrijas atbalsta vēstuli par projekta atbilstību Nacionālo bruņoto spēku operacionālajām vajadzībām un iekļaušanos Nacionālo bruņoto spēku un Aizsardzības ministrijas noteiktajās militārās transporta infrastruktūras, kā arī militārās mobilitātes attīstības prioritātēs.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iesniegumā neiekļauj: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atbilstoši Komercdarbības atbalsta kontroles likumam klasificējamas kā komercdarbības atbalsts.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specifiskā atbalsta ietvaros var iesniegt vienu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Specifiskā atbalsta ietvaros atbalstāmā darbība ir Vienības tilta pārbūve, kas uzlabos civilās un militārās mobilitātes savienojumu efektivitāti un drošību Daugavpils valstspilsētā un Latgales reģionā.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tilta būvniecības un pārbūves izmaksas, tai skaitā pagaidu tilta izbūve, kas nepieciešama nepārtrauktas satiksmes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tiltam piegulošo inženiertīklu pārbūves un atjaunošanas izmaksas atbilstoši būvprojekta risinājumam. 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lietusūdens kanalizācijas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apgaismojuma infrastruktūras izbūves, pārbūves vai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labiekārtošanas izmaksas, tai skaitā apzaļumošana;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vertikālie un horizontālie ceļa apzīmējumi;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vadības aprīkojuma uzstādīšanas un atjaunošanas izmaksas, piemēram, meteoroloģiskās stacijas, kas nepieciešamas tilta seguma stāvokļa un slodzes noteikšanai, un satiksmes intensitātes uzskaites punkti;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būvdarbu līgumcenu indeksācijas izmaksas atbilstoši normatīvajiem aktiem ar publisko būvdarbu līgumos obligāti ietveramajiem noteikumiem un to saturu;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piekļūstamības ekspertu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vadības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minētās netiešās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uzraudzības un autoruzraudzības izmaksas un attiecīgo būvspeciālistu normatīvajos aktos noteiktās obligātās apdrošināšanas izmaksas atbilstoši normatīvajiem aktiem būvspeciālistu un būvdarbu veicēju civiltiesiskās atbildības obligātās apdrošināšanas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informācijas un publicitātes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64. panta 1. punkta "c" apakšpunkta nosacījumiem,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22.11. </w:t>
      </w:r>
      <w:r w:rsidR="00000000" w:rsidRPr="00000000" w:rsidDel="00000000">
        <w:rPr>
          <w:rtl w:val="0"/>
        </w:rPr>
        <w:t xml:space="preserve">apakšpunktā</w:t>
      </w:r>
      <w:r w:rsidR="00000000" w:rsidRPr="00000000" w:rsidDel="00000000">
        <w:rPr>
          <w:rtl w:val="0"/>
        </w:rPr>
        <w:t xml:space="preserve"> minētās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34 422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w:t>
      </w:r>
      <w:r w:rsidR="00000000" w:rsidRPr="00000000" w:rsidDel="00000000">
        <w:rPr>
          <w:rtl w:val="0"/>
        </w:rPr>
        <w:t xml:space="preserve"> (ieskaitot). Par nepilnu kalendāra gadu fiksēto summu aprēķina proporcionāli projekta mēnešu skaitam;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84 787 </w:t>
      </w:r>
      <w:r w:rsidR="00000000" w:rsidRPr="00000000" w:rsidDel="00000000">
        <w:rPr>
          <w:i w:val="1"/>
          <w:rtl w:val="0"/>
        </w:rPr>
        <w:t xml:space="preserve">euro</w:t>
      </w:r>
      <w:r w:rsidR="00000000" w:rsidRPr="00000000" w:rsidDel="00000000">
        <w:rPr>
          <w:rtl w:val="0"/>
        </w:rPr>
        <w:t xml:space="preserve"> kalendāra gadā, ja projekta tiešās attiecināmās izmaksas ir lielākas nekā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22.11. </w:t>
      </w:r>
      <w:r w:rsidR="00000000" w:rsidRPr="00000000" w:rsidDel="00000000">
        <w:rPr>
          <w:rtl w:val="0"/>
        </w:rPr>
        <w:t xml:space="preserve">apakšpunktā</w:t>
      </w:r>
      <w:r w:rsidR="00000000" w:rsidRPr="00000000" w:rsidDel="00000000">
        <w:rPr>
          <w:rtl w:val="0"/>
        </w:rPr>
        <w:t xml:space="preserve"> minētās tiešās attiecināmās projekta vadības personāla izmaksas, finansējuma saņēmējs veic darba laika uzskaiti par projekta vadības personāla projekta ietvaros veiktajām funkcijām un nostrādāto laiku un nodrošina, ka personālam, kas nodarbināts pilnu darba laiku, nepilnu darba laiku vai daļlaiku ne mazāk kā 30 procentu apmērā no normālā darba laika, tiešajās attiecināmajās projekta vadības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Specifiskā atbalsta ietvaros izmaksas ir attiecināmas no dienas, kad atbilstoši regulas 2021/1060 63.panta 7.punktam Eiropas Komisijai ir iesniegts Eiropas Savienības kohēzijas politikas programmas 2021.–2027.gadam grozījumu pieprasījums, kas paredz specifiskā atbalsta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Specifiskā atbalsta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minēto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sabiedriskā transporta vienību skaitu, kuros Kohēzijas fonda ieguldījumu rezultātā ir nodrošināta vides un informācijas piekļūstamība;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 principu "Klimatdrošināšana" un projekta īstenošanas un pēcuzraudzības laikā uzkrāj datus par ietekmi uz horizontālā principa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horizontālo principu "Nenodarīt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uzņemas segt sadārdzinājumu no saviem līdzekļiem, nodrošina dubultā finansējuma neiestāšanos, kā arī nodrošina, ka projektā plānotās attiecināmās izmaksas netiek finansētas vai līdzfinansētas un tās nav plānots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īstenošanā radīto vērtību atbilstošu uzturēšanu;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10 gadus pēc pēdējā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normatīvajiem aktiem publisko iepirkumu jomā,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kā arī publiskos iepirkumus īsteno sociāli atbildīgā veidā, piemērojot sociāli atbildīgā publiskā iepirkuma un inovatīvā publiskā iepirkuma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interešu konflikta neesību saskaņā ar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61. pantu un normatīvajiem aktiem publisko iepirkumu jomā, kā arī paraksta interešu konflikta neesības apliecinājumu.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25-TA-523</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25-TA-523</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noteikumu_projekts_25-TA-523.docx</dc:title>
</cp:coreProperties>
</file>

<file path=docProps/custom.xml><?xml version="1.0" encoding="utf-8"?>
<Properties xmlns="http://schemas.openxmlformats.org/officeDocument/2006/custom-properties" xmlns:vt="http://schemas.openxmlformats.org/officeDocument/2006/docPropsVTypes"/>
</file>