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janvāra noteikumos Nr. 21 "Eiropas Savienības kohēzijas politikas programmas 2021.–2027. gadam 2.1.2. specifiskā atbalsta mērķa "Atjaunojamo energoresursu enerģijas veicināšana – biometāns"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noteikumos Nr. 21 "Eiropas Savienības kohēzijas politikas programmas 2021.–2027. gadam 2.1.2. specifiskā atbalsta mērķa "Atjaunojamo energoresursu enerģijas veicināšana – biometāns" īstenošanas noteikumi" (Latvijas Vēstnesis, 2025, 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cits finansētājs – kredītiestāde, tās filiāle vai tās meitas sabiedrība, kas ir tiesīga sniegt finanšu pakalpojumus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digesters – anaerobās sadalīšanās iekārta, tostarp reaktori, tvertnes un saistītais aprīkojums;".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Latvijas austrumu pierobeža – Alūksnes novada pašvaldība un visas Latgales plānošanas reģiona 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pieslēgums – sistēmas operatora sistēmas daļa (gāzesvadi, noslēgierīces, gāzes regulēšanas iekārtas, cauruļvadi, ievadāmā gāzes ķīmiskā sastāva, apjoma un kvalitātes noteikšanas un kontroles mezgls, kā arī citas iekārtas un aparatūra), kuru ierīko biometāna piegādei no piederības robežas līdz pieslēguma vietai pārvades vai sadales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transportēšanas komplekts – vilcējs komplektā ar speciāli aprīkotiem diviem konteineriem, kas piemēroti biometāna pārvadāšanai."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līdz 90 % – šo noteikumu 20.2.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līdz 2026. gada 30. jūnijam atbalsta pieteikumi ir iesniegti par mazāku finansējumu un netiek sasniegts šo noteikumu 6.1. vai 6.2. apakšpunktā noteiktais procentuālais finansējuma sadalījums atbalstāmo darbību īstenošanai, sabiedrība "Altum" var izlemt par finansējuma pārdalīšanu, mainot šo noteikumu 6. punktā norādīto procentuālo finansējuma sadalījumu."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Atbalsta saņēmējs pēc atbalsta projekta īstenošanas nodrošina šādu rādītāju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pēc šo noteikumu 23. punktā minēto izmaksu veikšanas iegādātais transportēšanas komplekts transportē biometānu, kas ir ekvivalents vismaz 12 000 MWh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pēc šo noteikumu 24. punktā minēto izmaksu veikšanas saražotā vai, izmantojot pieslēgumu, dabasgāzes apgādes sistēmā ievadītā biometāna apjoms ir </w:t>
      </w:r>
      <w:r w:rsidR="00000000" w:rsidRPr="00000000" w:rsidDel="00000000">
        <w:rPr>
          <w:rtl w:val="0"/>
        </w:rPr>
        <w:t xml:space="preserve">vismaz 6,25</w:t>
      </w:r>
      <w:r w:rsidR="00000000" w:rsidRPr="00000000" w:rsidDel="00000000">
        <w:rPr>
          <w:rtl w:val="0"/>
        </w:rPr>
        <w:t xml:space="preserve"> </w:t>
      </w:r>
      <w:r w:rsidR="00000000" w:rsidRPr="00000000" w:rsidDel="00000000">
        <w:rPr>
          <w:rtl w:val="0"/>
        </w:rPr>
        <w:t xml:space="preserve">MWh gadā uz</w:t>
      </w:r>
      <w:r w:rsidR="00000000" w:rsidRPr="00000000" w:rsidDel="00000000">
        <w:rPr>
          <w:rtl w:val="0"/>
        </w:rPr>
        <w:t xml:space="preserve"> attiecīgās atbalstāmās darbības un tās saistīto attiecināmo izmaksu katriem kapitāla atlaides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sabiedrības "Altum" garantija ar kapitāla atlaidi, ja atbalsta projektu finansē cits finansētājs. Kapitāla atlaidi piemēro cita finansētāja izsniegtajam aizdevumam, kam piesaistīta "Altum" garantija. Piešķirtais garantijas apmērs nevar būt mazāks par kapitāla atlaides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Sabiedrība "Altum" lēmumus par atbalsta piešķiršanu pieņem, kamēr ir pieejams šo noteikumu 5. punktā minētais finansējums, nepārsniedzot regulas Nr. 651/2014  darbības termiņu, bet ne ilgāk kā līdz 2027. gada 30. jūnijam vai nepārsniedzot Komisijas 2023. gada 13. decembra Regulas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Nr. 2023/2831) darbības termiņu, kas 2.1.2. pasākumam ir noteikts līdz  2029. gada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Atbalstu 2.1.2. pasākuma ietvaros sniedz tāda biometāna ražošanai, transportēšanai, ievadei tīklā un uzpildei, kas atbilst normatīvajiem aktiem par ilgtspējas un siltumnīcefekta gāzu emisiju ietaupījuma kritērijiem, no biomasas kurināmā ražotās elektroenerģijas kritērijiem un kārtībai, kādā pamatojama, apliecināma un uzraugāma atbilstība minētajiem kritērijiem. Atbalsta saņēmējs iesniedz sabiedrībai "Altum" dokumentus, kas apliecina, ka biometāna ražošana, transportēšana, ievade tīklā un uzpilde atbilst ilgtspējas un emisiju ietaupījuma kritērijiem, saskaņā ar šo noteikumu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Lai veicinātu virzību uz atjaunīgo energoresursu izmantošanu un nodrošinātu Latvijas mērķu sasniegšanu atjaunīgo energoresursu jomā, 2.1.2. pasākuma ietvaros saražotais un pārvadātais biometāna apjoms tiek ieskaitīts Latvijas kopējā atjaunīgās enerģijas izmantošanas mērķī."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2.1.2. pasākuma mērķa grupa un gala saņēmējs ir Latvijas Republikā reģistrēts komersants – esošs vai jauns biometāna ražotājs vai pārvadātājs."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ietvaros atbalstu var saņemt jebkuras darbības nozares komersants (izņemot šo noteikumu 17. punktā minēto nozaru komersants). Komersants var pretendēt uz atbalstu kā sīkais (mikro), mazais vai vidējais komersants, ja tas atbilst regulas Nr. 651/2014 1. pielikuma nosacījumiem un ir iesniedzis deklarāciju par savu atbilstību mazās (sīkās) vai vidējās komercsabiedrības statusam. Komersants var pretendēt uz atbalstu kā lielais komersants, ja tas atbilst regulas Nr. 651/2014 2. panta 24.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darbībām, kuras uzskatāmas par faktiski pabeigtām vai pilnībā īstenotām, pirms pieņemts lēmums par projekta īstenošanu,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58.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Eiropas Savienības fondu atbalsta projektu līdzfinansēšanai, kā arī priekšfinansēšanai saskaņā ar regulas Nr. 2021/1060 58. panta 7. punktu un refinansēšanai saskaņā ar regulas Nr. 2021/1060 58.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iekārtu kopuma ierīkošanai, kas nepieciešamas biometāna uzskaitei, kvalitātes kontrolei un odorizācijai."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tas ir reģistrēts komercreģistrā un ir esošs vai jauns biometāna ražotājs, kas  būs saražotā biometāna īpašnieks un to pārvadās, pārdos vai izmantos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jauna, rūpnieciski ražota transportēšanas komplekta iegādei biometāna transportēšanai Latvijas Republikas teritorijā, kas ir lietots mazāk par sešiem mēnešiem un nobraucis mazāk par 6000 km neatkarīgi no transportlīdzekļa reģistrācijas un atbilst regulas Nr. 651/2014 2. panta 102.f punkta "b" apakšpunktam un 102.g punkta "c"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biometāna attīrīšanas (biometāna ražošanas) iekārtu iegādei un uzstādīšanai, tai skaitā nepieciešamās infrastruktūras izbūvei, kas paredzēta biometāna uzpildei vai piegādei līdz dabasgāzes apgādes sistēmai, un pieslēguma izveidei, ja visi šie elementi ir integrēti un ir neatņemama ražošanas procesa sistēmas sastāvdaļa."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20.3.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Atbalstu šo noteikumu 20. punktā minētajām darbībām piešķir, ievērojot,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šo noteikumu 20.1. apakšpunktā minētajām atbalstāmajām darbībām atbalstu piešķir saskaņā ar vienu no šīm regulām: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1.1. saskaņā ar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1.2. saskaņā ar regulas Nr. 651/2014 36.b pantu, ja komersants ir izmantojis visu regulas Nr. 2023/2831 3. panta 2. punktā noteikto </w:t>
      </w:r>
      <w:r w:rsidR="00000000" w:rsidRPr="00000000" w:rsidDel="00000000">
        <w:rPr>
          <w:i w:val="1"/>
          <w:rtl w:val="0"/>
        </w:rPr>
        <w:t xml:space="preserve">de minimis</w:t>
      </w:r>
      <w:r w:rsidR="00000000" w:rsidRPr="00000000" w:rsidDel="00000000">
        <w:rPr>
          <w:rtl w:val="0"/>
        </w:rPr>
        <w:t xml:space="preserve"> atbalsta kopsummu vai ja atlikusī neizmantotā </w:t>
      </w:r>
      <w:r w:rsidR="00000000" w:rsidRPr="00000000" w:rsidDel="00000000">
        <w:rPr>
          <w:i w:val="1"/>
          <w:rtl w:val="0"/>
        </w:rPr>
        <w:t xml:space="preserve">de minimis</w:t>
      </w:r>
      <w:r w:rsidR="00000000" w:rsidRPr="00000000" w:rsidDel="00000000">
        <w:rPr>
          <w:rtl w:val="0"/>
        </w:rPr>
        <w:t xml:space="preserve"> atbalsta summa nav pietiekama, lai segtu plānotās izmaksas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 šo noteikumu 20.2. apakšpunktā minētajām darbībām atbalstu piešķir saskaņā ar regulas Nr. 651/2014 41.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Komersants var saņemt atbalstu kādai no šo noteikumu 20. punktā minētajām atbalstāmajām darbībām atsevišķi vai tās savstarpēji kombinējot, ievērojot šo noteikumu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Attiecināmas ir ar transportēšanas komplekta iegādi saistītās papildu ieguldījumu izmaksas atbilstoši šo noteikumu 20.1. apakšpunktam, ievērojot šādus nosacījumus: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atbalsta saņēmējs kļūst par transportēšanas komplekta īpašnieku;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sniedzot atbalstu saskaņā ar regulas Nr. 651/2014 36.b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23.2.1. atbalstu nepiešķir ieguldījumiem, kas norādīti regulas Nr. 651/2014 1. panta 6. punktā un 36.b panta 4., 5. un 7. 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23.2.2. attiecināmās izmaksas nosaka, aprēķinot starpību starp tīra transportlīdzekļa vai bezemisiju transportlīdzekļa iegādes ieguldījumu izmaksām, ievērojot regulas Nr. 651/2014 36.b panta 3. punkta "a"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sniedzot atbalstu saskaņā ar regulu Nr. 2023/2831, attiecināmās izmaksas ir faktiskās transportēšanas komplekta iegādes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Attiecināmas ir šādas šo noteikumu 20.2. apakšpunktā minēto darbību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esošas biogāzes stacijas pielāgošanas izmaksas, tai skaitā digestera iegādes un uzstādīšanas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jaunas biogāzes stacijas izveides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biogāzes bagātināšanas iekārtu iegādes un uzstādīšanas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saražotā biometāna uzglabāšanas iekārtu iegādes un uzstādīšanas izmaksas, ja biometāna uzglabāšanas iekārtas apvieno ar biometāna ražošanas iekārtu iegādi un uzstādīšanu;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papildaprīkojuma iegādes un uzstādīšanas izmaksas attīrītā biometāna sagatavošanai turpmākajām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ar iekārtu uzstādīšanu saistītās infrastruktūras pielāgošanas vai būvniecības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infrastruktūras biometāna piegādei līdz dabasgāzes apgādes sistēmai, kas atrodas piederības robežas ražotāja pusē, iegādes un ierīkošanas izmaksas, tai skaitā kompresoru stacijas iegādes un ierīkošanas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pieslēguma ierīkošanas izmaksas, izņemot šo noteikumu 17.6. apakšpunktā minēto iekārtu kopuma ierīkošanu."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Pievienotās vērtības nodokļa izmaksas šo noteikumu 23. un 24. punktā minētajām izmaksu pozīcijām ir attiecināmas atbilstoši regulas Nr. 2021/1060 64. panta 1. punkta "c" apakšpunkta nosacījumiem, ja tās nav atgūstamas atbilstoši normatīvajiem aktiem nodokļu politikas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Īstenojot atbalsta projektu 2.1.2. pasākuma ietvaros, atbalsta saņēmējs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atbalsta projekta īstenošanas vieta ir Latvijas Republika;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projektu īsteno saskaņā ar horizontālo principu "Nenodarīt būtisku kaitējumu", novēršot atkritumu rašanos un ievērojot materiālu aprites nosacījumus ražošanas tehnoloģijās;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projektu īsteno saskaņā ar horizontālo principu "Klimatdrošināšana", pēc projekta pabeigšanas iesniedzot šo noteikumu 30.1. apakšpunktā minēto ilgtspējas sertifikāta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 atbalsta projekta īstenošanas laikā izpilda ar sabiedrību "Altum" noslēgtajā līgumā noteiktās publicitātes un vizuālās identitātes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nodrošina interešu konflikta, krāpšanas un korupcijas riska un dubultā finansējuma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Atbalsta projekta ietvaros sasniegtos rādītājus sabiedrība "Altum" nosaka, pamatojoties uz: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ilgtspējas sertifikātu (kopiju), kas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30.1.1. atbilst Komisijas 2022. gada 14. jūnija Īstenošanas regulas Nr. 2022/996 par ilgtspējas kritēriju, siltumnīcefekta gāzu emisiju aiztaupījuma kritēriju un zema netiešas zemes izmantojuma maiņas riska kritēriju verifikācijas noteikumiem 2. panta 4. punkta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30.1.2. izsniegts par nākamo mēnesi pēc atbalsta projekta īstenošanas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gāzes izcelsmes apliecinājumu, ja biometāns tiek ievadīts dabasgāzes apgādes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Papildus šo noteikumu 30. punktā minētajiem dokumentiem komersants, kurš noslēdzis eksporta līgumu par biometānu, kas saražots, izmantojot 2.1.2. pasākumam piešķirto atbalstu, iesniedz sabiedrībai "Altum" šā eksporta līguma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Pēc atbalsta projekta īstenošanas komersants ir ieguvis īpašumtiesības uz nekustamā īpašuma objektu, kurā veikti  ieguldījumi, vai ir noslēdzis ilgtermiņa nomas līgumu, kas nav īsāks par  aizdevuma atmaksas vai garantijas termiņu, ja tas atbilst projekta īstenošanas mērķiem un ilgtermiņā nodrošina saimnieciskās darbības turpināšanu, vai ir ieguvis īpašumtiesības uz iekārtām, kuras tiks uzstādītas atbalsta projekta ietvaros, vai uz atbalsta projekta ietvaros iegādāto transportēšanas komplektu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projekta īstenošanai nepieciešamo tehnisko dokumentāciju (ja dokumenti ir iesniegti Būvniecības informācijas sistēmā, to norāda atbalsta pieteikumā un šos dokumentus nav nepieciešams atkārtoti iesniegt sabiedrībā "Altum"):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34.3.1. dokumentāciju, kas apliecina, ka ir saņemta būvatļauja šo noteikumu 20.2. apakšpunktā minēto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34.3.2. tehniskos noteikumus attiecīgajā jomā projekta ietvaros plānoto darbību īstenošanai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34.3.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w:t>
      </w:r>
      <w:r w:rsidR="00000000" w:rsidRPr="00000000" w:rsidDel="00000000">
        <w:rPr>
          <w:vertAlign w:val="superscript"/>
          <w:rtl w:val="0"/>
        </w:rPr>
        <w:t xml:space="preserve">1</w:t>
      </w:r>
      <w:r w:rsidR="00000000" w:rsidRPr="00000000" w:rsidDel="00000000">
        <w:rPr>
          <w:rtl w:val="0"/>
        </w:rPr>
        <w:t xml:space="preserve"> eksporta līguma kopiju par biometānu, kas tiks saražots, izmantojot 2.1.2. pasākumam piešķirto atbalstu, ja uz pieteikuma iesniegšanas brīdi komersants tādu ir noslēdzis;".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Ja mēneša laikā šo noteikumu 34.1. apakšpunktā minētie atbalsta pieteikumi tiek iesniegti lielākā apmērā nekā 2.1.2. pasākumam pieejamais finansējums, sabiedrība "Altum"  visus iesniegtos atbalsta pieteikumus sarindo prioritārā secībā,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prioritāri tiek atbalstīti pieteikumi, kuriem ir augstāks sasniedzamais rādītājs pret kapitāla atlaidi;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ja sasniedzamais rādītājs pret kapitāla atlaidi ir vienāds, prioritāri tiek atbalstīti pieteikumi, kuriem ir augstāka gatavības pakāpe, ko apliecina sabiedrībai "Altum" iesniegtā dokumentācija par projektēšanas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12 mēnešu laikā kopš atbalsta pieteikuma iesniegšanas dienas sabiedrībā "Altum" nav iesniegta pilnīga un korekta tehniskā dokumentācija (izņemot šo noteikumu 34.3. apakšpunktā minēto dokumentāciju) vai cits finansētājs, kas ir aizdevējs, nav iesniedzis garantijas pieteikumu, sabiedrība "Altum" var pieņemt lēmumu par atbalsta pieteikuma noraidīšanu. Sabiedrība "Altum" var nenoraidīt atbalsta pieteikumu, bet ne ilgāk kā 18 mēnešus kopš atbalsta pieteikuma iesniegšanas dienas sabiedrībā "Altum", ja noraidīšanas lēmuma pieņemšanas brīdī iestājušies apstākļi, kas nav atkarīgi no komersanta."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Atbalsta pieteikuma iesniedzēja atbilstību atbalsta piešķiršanas nosacījumiem sabiedrība "Altum" var pārbaudīt 30 dienu laikā pirms lēmuma pieņemšanas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cits finansētājs nepiešķir aizdevumu vai nav stājusies spēkā garantijas subsīdijas ekvivalenta aprēķina metodika lielajiem komersantiem, komersants var lūgt sabiedrībai "Altum" piešķirt aizdevumu iesniegtā atbalsta pieteikuma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Garantija sedz līdz 80 % no cita finansētāja aizdevuma apmēra atbalsta projekta attiecināmo izmaksu segšanai un nav mazāka kā kapitāla atlaides apmērs. Pēc kapitāla atlaides piemērošanas tiek atbilstoši samazināts garantijas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pieņem lēmumu par garantijas piešķiršanu, pamatojoties uz šajos noteikumos minētajiem nosacījumiem, kā arī uz sabiedrības "Altum" izstrādāto riska politiku un sabiedrībai "Altum" saistošajiem citiem tiesību aktiem un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Sabiedrība "Altum" var pagarināt aizdevuma atmaksas termiņu, nepārsniedzot šo noteikumu 49. punktā minēto maksimālo aizdevuma termiņu un ievērojot vienu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netiek piešķirts jauns atbalsts, tas ir, aizdevuma atmaksas termiņa pagarinājums nerada sākotnēji piešķirtās valsts atbalsta summas un piemērotās intensitātes pieaugumu, kā tas ir noteikts sabiedrības "Altum" sākotnējā lēmumā par atbalsta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jauns atbalsts tiek piešķirts kā jauns </w:t>
      </w:r>
      <w:r w:rsidR="00000000" w:rsidRPr="00000000" w:rsidDel="00000000">
        <w:rPr>
          <w:i w:val="1"/>
          <w:rtl w:val="0"/>
        </w:rPr>
        <w:t xml:space="preserve">de minimis</w:t>
      </w:r>
      <w:r w:rsidR="00000000" w:rsidRPr="00000000" w:rsidDel="00000000">
        <w:rPr>
          <w:rtl w:val="0"/>
        </w:rPr>
        <w:t xml:space="preserve"> atbalsts. Aizdevuma atmaksas termiņa pagarinājums ar jauna atbalsta piešķiršanu pieļaujams tikai tādā gadījumā, ja sākotnēji atbalsts sniegts kā </w:t>
      </w:r>
      <w:r w:rsidR="00000000" w:rsidRPr="00000000" w:rsidDel="00000000">
        <w:rPr>
          <w:i w:val="1"/>
          <w:rtl w:val="0"/>
        </w:rPr>
        <w:t xml:space="preserve">de minimis </w:t>
      </w:r>
      <w:r w:rsidR="00000000" w:rsidRPr="00000000" w:rsidDel="00000000">
        <w:rPr>
          <w:rtl w:val="0"/>
        </w:rPr>
        <w:t xml:space="preserve">atbalsts saskaņā ar regulu Nr. 2023/2831 un jauna </w:t>
      </w:r>
      <w:r w:rsidR="00000000" w:rsidRPr="00000000" w:rsidDel="00000000">
        <w:rPr>
          <w:i w:val="1"/>
          <w:rtl w:val="0"/>
        </w:rPr>
        <w:t xml:space="preserve">de minimis </w:t>
      </w:r>
      <w:r w:rsidR="00000000" w:rsidRPr="00000000" w:rsidDel="00000000">
        <w:rPr>
          <w:rtl w:val="0"/>
        </w:rPr>
        <w:t xml:space="preserve">atbalsta piešķiršanas rezultātā netiks pārsniegts regulas Nr. 2023/2831 3. panta 2. punktā noteiktais </w:t>
      </w:r>
      <w:r w:rsidR="00000000" w:rsidRPr="00000000" w:rsidDel="00000000">
        <w:rPr>
          <w:i w:val="1"/>
          <w:rtl w:val="0"/>
        </w:rPr>
        <w:t xml:space="preserve">de minimis </w:t>
      </w:r>
      <w:r w:rsidR="00000000" w:rsidRPr="00000000" w:rsidDel="00000000">
        <w:rPr>
          <w:rtl w:val="0"/>
        </w:rPr>
        <w:t xml:space="preserve">atbalsta robežlielums. Ja komersants atbilst valsts atbalsta saņemšanas prasībām, jauns </w:t>
      </w:r>
      <w:r w:rsidR="00000000" w:rsidRPr="00000000" w:rsidDel="00000000">
        <w:rPr>
          <w:i w:val="1"/>
          <w:rtl w:val="0"/>
        </w:rPr>
        <w:t xml:space="preserve">de minimis</w:t>
      </w:r>
      <w:r w:rsidR="00000000" w:rsidRPr="00000000" w:rsidDel="00000000">
        <w:rPr>
          <w:rtl w:val="0"/>
        </w:rPr>
        <w:t xml:space="preserve"> atbalsts uzskatāms par piešķirtu brīdī, kad sabiedrība "Altum" pieņem jaunu lēmumu, kurā ir noteikts papildus piešķirtā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Sabiedrība "Altum" iesniegtajam atbalsta projektam nosaka zemāku maksimālo kapitāla atlaidi, nekā minēts šo noteikumu 57. punktā, tikai tiem atbalsta pretendentiem, kuri ir iesnieguši projekta pieteikumu brīdī, kad atbalsta programmas ietvaros atlikuši 20 % no kopējā finansējuma, lai nodrošinātu, ka atbalsta piešķiršanas rezultātā netiek pārsniegta šo noteikumu 56. punktā noteiktā kapitāla atlaides vidējā proporcija visā šo noteikumu piemērošanas periodā. Kapitāla atlaides samazinājumu visiem atbalsta pretendentiem, kuri piesakās uz atlikušajiem 20 % no atbalsta programmas kopējā finansējuma, piemēro vienādā procentuālā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Viena atbalsta projekta ietvaros maksimālā kopējā kapitāla atlaide no cita finansētāja vai sabiedrības "Altum" attiecināmo izmaksu aizdevuma apmēra nav lielāka par 4 200 000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nepārsniedzot šo noteikumu 63. un 64. punktā noteikto pieļaujamo atbalsta intensitāti, un ir līdz: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57.1. 130 000 </w:t>
      </w:r>
      <w:r w:rsidR="00000000" w:rsidRPr="00000000" w:rsidDel="00000000">
        <w:rPr>
          <w:i w:val="1"/>
          <w:rtl w:val="0"/>
        </w:rPr>
        <w:t xml:space="preserve">euro</w:t>
      </w:r>
      <w:r w:rsidR="00000000" w:rsidRPr="00000000" w:rsidDel="00000000">
        <w:rPr>
          <w:rtl w:val="0"/>
        </w:rPr>
        <w:t xml:space="preserve">, nepārsniedzot 30 % lielajam komersantam, 40 % vidējam komersantam un 50 %  sīkajam (mikro) un mazajam komersantam, īstenojot šo noteikumu 20.1. apakšpunktā noteiktās darbības. Ja šo noteikumu 20.1. apakšpunktā noteiktās darbības tiek īstenotas atbilstoši šo noteikumu 20.</w:t>
      </w:r>
      <w:r w:rsidR="00000000" w:rsidRPr="00000000" w:rsidDel="00000000">
        <w:rPr>
          <w:vertAlign w:val="superscript"/>
          <w:rtl w:val="0"/>
        </w:rPr>
        <w:t xml:space="preserve">1</w:t>
      </w:r>
      <w:r w:rsidR="00000000" w:rsidRPr="00000000" w:rsidDel="00000000">
        <w:rPr>
          <w:rtl w:val="0"/>
        </w:rPr>
        <w:t xml:space="preserve">1.1. apakšpunktam, kapitāla atlaide tiek aprēķināta viena vienota uzņēmuma līmenī;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57.2. 4 200 000 </w:t>
      </w:r>
      <w:r w:rsidR="00000000" w:rsidRPr="00000000" w:rsidDel="00000000">
        <w:rPr>
          <w:i w:val="1"/>
          <w:rtl w:val="0"/>
        </w:rPr>
        <w:t xml:space="preserve">euro</w:t>
      </w:r>
      <w:r w:rsidR="00000000" w:rsidRPr="00000000" w:rsidDel="00000000">
        <w:rPr>
          <w:rtl w:val="0"/>
        </w:rPr>
        <w:t xml:space="preserve">, nepārsniedzot 45 % lielajam komersantam un 50 % vidējam, sīkajam (mikro) un mazajam komersantam, īstenojot šo noteikumu 20.2. apakšpunktā noteiktās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57.3. 4 200 000 </w:t>
      </w:r>
      <w:r w:rsidR="00000000" w:rsidRPr="00000000" w:rsidDel="00000000">
        <w:rPr>
          <w:i w:val="1"/>
          <w:rtl w:val="0"/>
        </w:rPr>
        <w:t xml:space="preserve">euro</w:t>
      </w:r>
      <w:r w:rsidR="00000000" w:rsidRPr="00000000" w:rsidDel="00000000">
        <w:rPr>
          <w:rtl w:val="0"/>
        </w:rPr>
        <w:t xml:space="preserve">, nepārsniedzot 45 % lielajam komersantam, 55 % vidējam komersantam un 65 % sīkajam (mikro) un mazajam komersantam, īstenojot šo noteikumu 20.2. apakšpunktā noteiktās darbības, ja atbalsta projektu plānots īstenot Latvijas austrumu pierobežā."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62.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Atbalsta saņēmējs uzsāk atmaksāt pamatsummu sabiedrības "Altum" aizdevumam ar kapitāla atlaidi vai cita finansētāja aizdevumam, kam piesaistīta garantija ar kapitāla atlaidi, pēc projekta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62.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2</w:t>
      </w:r>
      <w:r w:rsidR="00000000" w:rsidRPr="00000000" w:rsidDel="00000000">
        <w:rPr>
          <w:rtl w:val="0"/>
        </w:rPr>
        <w:t xml:space="preserve"> Ja pēc projekta pabeigšanas līdz brīdim, kad tiek piemērota kapitāla atlaide, aizdevuma pamatsumma vai cita finansētāja aizdevuma pamatsumma ir atmaksāta tādā apmērā, ka tās atlikums ir mazāks par piemērojamo kapitāla atlaidi, piemērojamās kapitāla atlaides apmēru samazina līdz faktiskajam aizdevuma vai cita finansētāja aizdevuma pamatsummas atlikuma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Papildināt ar 62.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 Ja atbalsts tiek sniegts kā </w:t>
      </w:r>
      <w:r w:rsidR="00000000" w:rsidRPr="00000000" w:rsidDel="00000000">
        <w:rPr>
          <w:i w:val="1"/>
          <w:rtl w:val="0"/>
        </w:rPr>
        <w:t xml:space="preserve">de minimis </w:t>
      </w:r>
      <w:r w:rsidR="00000000" w:rsidRPr="00000000" w:rsidDel="00000000">
        <w:rPr>
          <w:rtl w:val="0"/>
        </w:rPr>
        <w:t xml:space="preserve">atbalsts saskaņā ar regulu Nr.  2023/2831,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1. atbalsta sniedzējs izvērtē projekta iesniedzēja atbilstību regulas Nr. 2023/2831 nosacījumiem uz atbalsta piešķiršanas brīdi;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2. pirms</w:t>
      </w:r>
      <w:r w:rsidR="00000000" w:rsidRPr="00000000" w:rsidDel="00000000">
        <w:rPr>
          <w:i w:val="1"/>
          <w:rtl w:val="0"/>
        </w:rPr>
        <w:t xml:space="preserve"> de minimis</w:t>
      </w:r>
      <w:r w:rsidR="00000000" w:rsidRPr="00000000" w:rsidDel="00000000">
        <w:rPr>
          <w:rtl w:val="0"/>
        </w:rPr>
        <w:t xml:space="preserve"> atbalsta piešķiršanas pārbauda, vai projekta iesniedzējam plānotais</w:t>
      </w:r>
      <w:r w:rsidR="00000000" w:rsidRPr="00000000" w:rsidDel="00000000">
        <w:rPr>
          <w:i w:val="1"/>
          <w:rtl w:val="0"/>
        </w:rPr>
        <w:t xml:space="preserve"> 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Nr. 2023/2831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2023/2831 2. panta 2. punktā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3. </w:t>
      </w:r>
      <w:r w:rsidR="00000000" w:rsidRPr="00000000" w:rsidDel="00000000">
        <w:rPr>
          <w:i w:val="1"/>
          <w:rtl w:val="0"/>
        </w:rPr>
        <w:t xml:space="preserve">de minimis</w:t>
      </w:r>
      <w:r w:rsidR="00000000" w:rsidRPr="00000000" w:rsidDel="00000000">
        <w:rPr>
          <w:rtl w:val="0"/>
        </w:rPr>
        <w:t xml:space="preserve"> atbalstu saskaņā ar regulu Nr. 2023/2831 piešķir, ievērojot regulas Nr. 2023/2831 1. panta 1. punktā minētos nozaru un darbību ierobežojumus. Ja komersants vienlaikus darbojas vienā vai vairākās regulas Nr. 2023/2831 1. panta 1. punkta "a", "b", "c" un "d" apakšpunktā minētajās nozarēs, atbalstu drīkst piešķirt tikai tad, ja komersants nodrošina šo nozaru darbību vai uzskaites nodalīšanu, lai saskaņā ar regulas Nr.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4. </w:t>
      </w:r>
      <w:r w:rsidR="00000000" w:rsidRPr="00000000" w:rsidDel="00000000">
        <w:rPr>
          <w:i w:val="1"/>
          <w:rtl w:val="0"/>
        </w:rPr>
        <w:t xml:space="preserve">de minimis</w:t>
      </w:r>
      <w:r w:rsidR="00000000" w:rsidRPr="00000000" w:rsidDel="00000000">
        <w:rPr>
          <w:rtl w:val="0"/>
        </w:rPr>
        <w:t xml:space="preserve"> atbalsta gadījumā atbalsta pieteikumam pievieno</w:t>
      </w:r>
      <w:r w:rsidR="00000000" w:rsidRPr="00000000" w:rsidDel="00000000">
        <w:rPr>
          <w:i w:val="1"/>
          <w:rtl w:val="0"/>
        </w:rPr>
        <w:t xml:space="preserve"> de minimis</w:t>
      </w:r>
      <w:r w:rsidR="00000000" w:rsidRPr="00000000" w:rsidDel="00000000">
        <w:rPr>
          <w:rtl w:val="0"/>
        </w:rPr>
        <w:t xml:space="preserve"> atbalsta uzskaites sistēmā sagatavotas veidlapas izdruku vai norāda sistēmā izveidotās un apstiprinātās projekta iesniedzēja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5.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Atbalsta sniedzējs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sākot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Savukārt </w:t>
      </w:r>
      <w:r w:rsidR="00000000" w:rsidRPr="00000000" w:rsidDel="00000000">
        <w:rPr>
          <w:i w:val="1"/>
          <w:rtl w:val="0"/>
        </w:rPr>
        <w:t xml:space="preserve">de minimis </w:t>
      </w:r>
      <w:r w:rsidR="00000000" w:rsidRPr="00000000" w:rsidDel="00000000">
        <w:rPr>
          <w:rtl w:val="0"/>
        </w:rPr>
        <w:t xml:space="preserve">atbalsta saņēmējs uzglabā visus ar </w:t>
      </w:r>
      <w:r w:rsidR="00000000" w:rsidRPr="00000000" w:rsidDel="00000000">
        <w:rPr>
          <w:i w:val="1"/>
          <w:rtl w:val="0"/>
        </w:rPr>
        <w:t xml:space="preserve">de minimis </w:t>
      </w:r>
      <w:r w:rsidR="00000000" w:rsidRPr="00000000" w:rsidDel="00000000">
        <w:rPr>
          <w:rtl w:val="0"/>
        </w:rPr>
        <w:t xml:space="preserve">atbalsta piešķiršanu saistītos datus 10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Ja atbalsts šo noteikumu 20.2. apakšpunktā noteiktajām darbībām tiek sniegts saskaņā ar regulas Nr. 651/2014 41. panta 5. punktu, ievērojot regulas Nr. 651/2014 41. panta 6. punktu, kopējā atbalsta intensitāte saskaņā ar regulas Nr. 651/2014 41. panta 7. un 8. punktu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45 % lielajam komersantam;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55 % vidējam komersantam;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 65 % sīkajam (mikro) un mazajam komersantam."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Ja atbalsts šo noteikumu 20.1. apakšpunktā noteiktajām darbībām tiek sniegts saskaņā ar regulas Nr. 651/2014 36.b panta 2. punktu, ievērojot regulas Nr. 651/2014 36.b panta 3. punktu, vai kā </w:t>
      </w:r>
      <w:r w:rsidR="00000000" w:rsidRPr="00000000" w:rsidDel="00000000">
        <w:rPr>
          <w:i w:val="1"/>
          <w:rtl w:val="0"/>
        </w:rPr>
        <w:t xml:space="preserve">de minimis </w:t>
      </w:r>
      <w:r w:rsidR="00000000" w:rsidRPr="00000000" w:rsidDel="00000000">
        <w:rPr>
          <w:rtl w:val="0"/>
        </w:rPr>
        <w:t xml:space="preserve">atbalsts saskaņā ar regulu Nr. 2023/2831, kopējā atbalsta intensitāte saskaņā ar regulas Nr. 651/2014 36.b panta  6. punktu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30 % lielajam komersantam;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40 % vidējam komersantam;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64.3. 50 % sīkajam (mikro) komersantam."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Papildināt ar 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Atbalstu, ko piešķir šo noteikumu ietvaros saskaņā ar regulas Nr. 651/2014 36.b vai 41. pantu, tai skaitā attiecībā uz vienām un tām pašām attiecināmajām izmaksām, var apvienot ar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finansējumu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komercdarbības atbalsts kopā ar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komercdarbības atbalstu nepārsniedz maksimāli pieļaujamo atbalsta finansējuma intensitāti, kas noteikta šo noteikumu 63. un 64.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 </w:t>
      </w:r>
      <w:r w:rsidR="00000000" w:rsidRPr="00000000" w:rsidDel="00000000">
        <w:rPr>
          <w:rtl w:val="0"/>
        </w:rPr>
        <w:t xml:space="preserve">atbalstu par vienām un tām pašām izmaksām var apvienot, ja pēc atbalstu apvienošanas atbalsta vienībai vai izmaksu pozīcijai attiecīgā maksimālā atbalsta intensitāte nepārsniedz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Papildināt ar 65.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Ja projekta iesniedzējs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65. punktu, tas sabiedrībā "Altum" iesniedz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atbalsta pieteikuma apstiprināšanu sabiedrība "Altum" pieņem tikai pēc tam, kad visas iesaistītās institūcijas ir pieņēmušas lēmumu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67.2.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"67.2. garantijai subsīdijas ekvivalentu aprēķina garantijas daļai no cita finansētāja aizdevuma summas, kas samazināta par šo noteikumu 67.1. apakšpunktā minēto subsīdijas ekvivalentu: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67.2.1. sīkajam (mikro), mazajam un vidējam saimnieciskās darbības veicējam – kā starpību starp atbilstošās kvalitātes klases drošās zonas prēmijas likmi (pielikums) un piemēroto gada prēmijas likmi naudas izteiksmē vai piemērojot regulas Nr. 651/2014 5. panta 2. punkta "c" apakšpunkta "i" punkta nosacījumus. Ja garantijas ilgums pārsniedz gadu, starpība starp likmēm tiek diskontēta, izmantojot atsauces likmi, kas ir aprēķināma saskaņā ar Eiropas Komisijas Latvijai apstiprināto likmi;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67.2.2. lielajam komersantam – piemērojot regulas Nr. 651/2014 5. panta 2. punkta "c" apakšpunkta "ii" punktā norādīto metodi vai regulas Nr. 2023/2831 4. panta 6. punkta "b" apakšpunkta nosacījumus. Subsīdijas ekvivalents kopā ar šo noteikumu 67.1. apakšpunktā noteikto subsīdijas ekvivalentu nepārsniedz regulas Nr. 2023/2831 3. panta 2. punktā minēto limitu vai vienam vienotam uzņēmumam pieejamo </w:t>
      </w:r>
      <w:r w:rsidR="00000000" w:rsidRPr="00000000" w:rsidDel="00000000">
        <w:rPr>
          <w:i w:val="1"/>
          <w:rtl w:val="0"/>
        </w:rPr>
        <w:t xml:space="preserve">de minimis </w:t>
      </w:r>
      <w:r w:rsidR="00000000" w:rsidRPr="00000000" w:rsidDel="00000000">
        <w:rPr>
          <w:rtl w:val="0"/>
        </w:rPr>
        <w:t xml:space="preserve">limita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Lai saņemtu atbalstu saskaņā ar regulu Nr. 651/2014, komersants ņem vērā nosacījumu, ka sniegtajam atbalstam ir stimulējoša ietekme atbilstoši regulas Nr. 651/2014 6. panta 2. punktā minētajām pazīmēm – atbalsta pieteikums atbilst regulas Nr. 651/2014 6. panta 2. punktā ietvertajām prasībām par pieteikumā iekļaujamo informāciju un ir iesniegts pirms darbu uzsākšanas atbalsta projektā. Ja atbalsta saņēmējs darbus atbalsta projektā uzsācis pirms atbalsta pieteikuma iesniegšanas sabiedrībā "Altum", atbalsta pieteikums ir noraidāms."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69.1.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 veic informācijas uzskaiti par sniegto atbalsta finansējumu atbilstoši regulas Nr. 651/2014 12. pantam un glabā to 10 gadus no dienas, kad piešķirts atbalsts saskaņā ar regulas Nr. 651/2014 36.b un 41. pantu. Informāciju pēc pieprasījuma iesniedz Klimata un enerģētikas ministrijai, Finanšu ministrijai kā revīzijas iestādei un Eiropas Savienības fondu vadošajai iestādei, Centrālajai finanšu un līgumu aģentūrai kā sadarbības iestādei vai Eiropas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69.2.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ja atbalsts tiek piešķirts saskaņā ar regulas Nr. 651/2014 36.b vai 41. pantu, atbalsta pieteikumā pamato un atbalsta projekta īstenošanas laikā nodrošina darbību vai izmaksu nošķiršanu saskaņā ar regulas Nr. 651/2014 1. panta 3. punktu, ja tas vienlaikus darbojas saskaņā ar šiem noteikumiem atbalstāmajās un neatbalstāmajās nozarēs un 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Atbalsts, kas sniegts saskaņā ar regulas Nr. 651/2014 41. pantu, nepārsniedz paziņošanas robežvērtības, kas atbalsta saņēmējam noteiktas regulas Nr. 651/2014 4. panta 1. punkta "s" apakšpunktā, tai skaitā saistīto uzņēmumu grupas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Svītrot 72.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Ja tiek pārkāpti regulas Nr. 651/2014 un regulas Nr. 2023/2831 nosacījumi, komersantam ir pienākums atmaksāt sabiedrībai "Altum" visu atbalsta projekta ietvaros saņemto nelikumīgo valsts atbalstu kopā ar procentiem no līdzekļiem, kas ir brīvi no valsts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Svītrot 74.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Izteikt X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 75.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Papildināt ar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Šo noteikumu 67.2.2. apakšpunkts stājas spēkā nākamajā dienā pēc tam, kad oficiālajā izdevumā "Latvijas Vēstnesis" publicēts paziņojums, ka Eiropas Komisija pieņēmusi lēmumu par šajos noteikumos iekļauto garantijas subsīdijas ekvivalenta aprēķina metodiku lielajiem komersantiem un tās atbilstību komercdarbības atbalsta kontroles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Papildināt ar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Klimata un enerģētikas ministrija pēc tam, kad  Eiropas Komisija pieņēmusi lēmumu par garantijas subsīdijas ekvivalenta aprēķina metodiku lielajiem komersantiem un tās atbilstību komercdarbības atbalsta kontroles nosacījumiem,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25-TA-1200</w:t>
    </w:r>
    <w:r>
      <w:br/>
    </w:r>
    <w:r w:rsidR="00000000" w:rsidRPr="00000000" w:rsidDel="00000000">
      <w:rPr>
        <w:rtl w:val="0"/>
      </w:rPr>
      <w:t xml:space="preserve">Izdrukāts 29.07.2026. 21.18 - 2.0.VK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25-TA-1200</w:t>
    </w:r>
    <w:r>
      <w:br/>
    </w:r>
    <w:r w:rsidR="00000000" w:rsidRPr="00000000" w:rsidDel="00000000">
      <w:rPr>
        <w:rtl w:val="0"/>
      </w:rPr>
      <w:t xml:space="preserve">Izdrukāts 29.07.2026. 21.18 - 2.0.VK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noteikumu_(grozījumu)_projekts_25-TA-1200.docx</dc:title>
</cp:coreProperties>
</file>

<file path=docProps/custom.xml><?xml version="1.0" encoding="utf-8"?>
<Properties xmlns="http://schemas.openxmlformats.org/officeDocument/2006/custom-properties" xmlns:vt="http://schemas.openxmlformats.org/officeDocument/2006/docPropsVTypes"/>
</file>