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55.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1.1.2. specifiskā atbalsta mērķa "Prasmju attīstīšana viedās specializācijas,  industriālās pārejas un uzņēmējdarbības veicināšanai" 1.1.2.1. pasākuma "RIS3 industriālās prasmes"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1.1.2. specifiskā atbalsta mērķa "Prasmju attīstīšana viedās specializācijas,  industriālās pārejas un uzņēmējdarbības veicināšanai" 1.1.2.1. pasākuma "RIS3 industriālās prasmes" (turpmāk – pasākums) projektu iesniegumu atlasi;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(turpmāk – ERAF) projekta (turpmāk – projekts) iesniedzējam,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projektu īstenošanas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ir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akadēmiskais personāls – Latvijas augstskolās akadēmiskajos amatos ievēlētas personas, kā arī akadēmiskajos amatos neievēlētas personas (viesprofesori, asociētie viesprofesori, viesdocenti vai vieslektori), kuru docētajos studiju kursos paredzētas tēmas, kas saistītas ar augsta līmeņa kiberdrošības prasmju attīstību;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doktoranti – doktora studiju programmās studējošie un zinātnes doktora grāda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efektīva sadarbība – sadarbība, kas atbilst Komisijas 2014. gada 17. jūnija Regulas (ES) Nr. 651/2014, ar ko noteiktas atbalsta kategorijas atzīst par saderīgām ar iekšējo tirgu, piemērojot Līguma 107. un 108. pantu, 2. panta 90. 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dzīves cikls – periods, kas aptver laiku no projekta darbību uzsākšanas līdz projekta izmaksu un ieguvumu analīzē norādītā pārskata perioda beigām;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zinātnes universitāte – nacionāla līmeņa zinātnes, izglītības un kultūras institūcija, kura atbilstoši augstākās izglītības standartiem īsteno trīs augstākās izglītības līmeņu studiju programmas – bakalaura, maģistra un doktora studiju programmas.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stiprināt kiberdrošības zināšanu kapacitāti valsts izglītības sistēmas ietvaros, akadēmisko un pētniecības izcilību Latvijā, lai  veicinātu augsta līmeņa digitālo prasmju īpatsvara pieaugumu valsts drošības stiprināšanai, pētniecības attīstībai un uzņēmējdarbības veicināšanai kiberdrošības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augstākās izglītības un zinātnes institūcijas, akadēmiskais personāls, studējošie, publisko iestāžu, organizāciju un saimnieciskās darbības veicēju nodarbinātie kiberdrošības un mākslīgā intelekta tehnoloģiju jomā.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plānotais un pieejamais kopējais attiecināmais finansējums ir 8 736 200 </w:t>
      </w:r>
      <w:r w:rsidR="00000000" w:rsidRPr="00000000" w:rsidDel="00000000">
        <w:rPr>
          <w:i w:val="1"/>
          <w:rtl w:val="0"/>
        </w:rPr>
        <w:t xml:space="preserve">euro</w:t>
      </w:r>
      <w:r w:rsidR="00000000" w:rsidRPr="00000000" w:rsidDel="00000000">
        <w:rPr>
          <w:rtl w:val="0"/>
        </w:rPr>
        <w:t xml:space="preserve">, tai skaitā ERAF finansējums – 7 425 770 </w:t>
      </w:r>
      <w:r w:rsidR="00000000" w:rsidRPr="00000000" w:rsidDel="00000000">
        <w:rPr>
          <w:i w:val="1"/>
          <w:rtl w:val="0"/>
        </w:rPr>
        <w:t xml:space="preserve">euro  </w:t>
      </w:r>
      <w:r w:rsidR="00000000" w:rsidRPr="00000000" w:rsidDel="00000000">
        <w:rPr>
          <w:rtl w:val="0"/>
        </w:rPr>
        <w:t xml:space="preserve">un valsts budžeta līdzfinansējums – 1 310 430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Maksimālais attiecināmais ERAF finansējuma apmērs ir 85 procenti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rādītāji attiecībā uz mazo un vidējo saimnieciskās darbības veicēju nodarbināto personu iesaisti mācībās, kas saistītas ar augsta līmeņa kiberdrošības un mākslīgā intelekta tehnoloģiju prasmju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mazajiem un vidējiem saimnieciskās darbības veicējiem nodarbināto personu skaits, kuri pabeidz mācības prasmju attīstīšanai gudras specializācijas, rūpniecības pārejas un uzņēmējdarbības jomā, – 390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mazie un vidējie saimnieciskās darbības veicēji, kas investē pārdomātas specializācijas, industriālās pārejas un uzņēmējdarbības veicināšanas prasmēs – 130;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publisko atbalstu papildinošās privātās investīcijas (tai skaitā granti, finanšu instrumenti) – 522 495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izveidota, licencēta un akreditēta viena maģistra studiju programma ar specializāciju kiberdrošības un mākslīgā intelekta tehnoloģiju izmantošanā;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unikālo personu skaits, kuras līdz 2029. gada 30. novembrim ir ieguvušas maģistra grādu šo noteikumu </w:t>
      </w:r>
      <w:r w:rsidR="00000000" w:rsidRPr="00000000" w:rsidDel="00000000">
        <w:rPr>
          <w:rtl w:val="0"/>
        </w:rPr>
        <w:t xml:space="preserve">7.2.1.</w:t>
      </w:r>
      <w:r w:rsidR="00000000" w:rsidRPr="00000000" w:rsidDel="00000000">
        <w:rPr>
          <w:rtl w:val="0"/>
        </w:rPr>
        <w:t xml:space="preserve"> apakšpunktā minētajā maģistra studiju programmā, – 40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akadēmiskais personāls, kas ir pilnveidojis kompetences un kvalifikāciju kiberdrošības un mākslīgā intelekta tehnoloģiju jomā, – vismaz 12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profesūras tenūras amata vietas kiberdrošības un mākslīgā intelekta tehnoloģiju jomā, kuru darbību zinātnes universitātes nodrošina projekta dzīves ciklā, – 4;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tenūrprofesoriem piesaistīto doktorantu skaits – 12 doktoranti;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izstrādātas profesionālās kvalifikācijas prasības atbilstošas profesionālās kvalifikācijas iegūšanai kiberdrošības un mākslīgā intelekta tehnoloģiju jomā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publisko iestāžu, organizāciju un lielo komersantu nodarbināto skaits, kuri ir apguvuši  studiju kursus, studiju moduļus un profesionālās pilnveides izglītības programmas augsta līmeņa kiberdrošības un mākslīgā intelekta tehnoloģiju prasmju jomā, – 100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finansējuma saņēmējs un sadarbības partneris uzkrāj šādus Latvijas Viedās specializācijas stratēģijas (RIS3) rādītājus RIS3 jomā "Informācijas un komunikācijas tehnoloģijas":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un attīstības (turpmāk – P&amp;A)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pētniecībai piesaistītais ārvalstu finansējums no starptautiskām pētniecības programmām vai ārvalstu partneriem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publikācijas WoS un SCOPUS (skaits).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atbalstu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tiek atbalstīts ar saimniecisku darbību nesaistīts projekts. Ja, īstenojot ar saimniecisku darbību nesaistītu projektu, tiek secināts, ka tas ir ar saimniecisku darbību saistīts projekts un atbalsts tam kvalificējams kā komercdarbības atbalsts, projekta iesniedzējam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projekta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ir zinātnes universitāte – Latvijas Universitāte, kas pēc tam, kad ir apstiprināts projekta iesniegums,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projekta īstenošanā iesaista sadarbības partneri zinātnes universitāti – Rīgas Tehnisko universitāti.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 Projekta 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nodomu protokolu par sadarbību projektā, ko parakstījis šo noteikumu </w:t>
      </w:r>
      <w:r w:rsidR="00000000" w:rsidRPr="00000000" w:rsidDel="00000000">
        <w:rPr>
          <w:rtl w:val="0"/>
        </w:rPr>
        <w:t xml:space="preserve">14.</w:t>
      </w:r>
      <w:r w:rsidR="00000000" w:rsidRPr="00000000" w:rsidDel="00000000">
        <w:rPr>
          <w:rtl w:val="0"/>
        </w:rPr>
        <w:t xml:space="preserve"> punktā  minētais sadarbības partneris;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iesniedzēja un sadarbības partnera akadēmiskā personāla profesionālās kompetences un kvalifikācijas pilnveides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profesūras tenūras amata vietu izveides plānu kiberdrošības un mākslīgā intelekta tehnoloģiju jomā projekta iesniedzēja un sadarbības partnera zinātnes universitātē;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Izglītības un zinātnes ministriju saskaņotu finansējuma saņēmēja un sadarbības partnera kopīgās maģistra studiju programmas izstrādes, licencēšanas, akreditācijas un īstenošanas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sadarbības iestādes izstrādātajiem metodiskajiem norādījumiem sagatavotu projekta izmaksu un ieguvumu analīzi. Veicot izmaksu un ieguvumu analīzi, projekta iesniedzējs nodrošina, ka aprēķinātā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projekta iesniegumā iekļauj informāciju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piedāvājuma izveides un īstenošanas kārtību publiskajās iestādēs, organizācijās un pie saimnieciskās darbības veicējiem nodarbināto personu mācībām un mācību dalībnieku iesaistes risinājumu studiju kursu, studiju moduļu un profesionālās pilnveides izglītības programmu apguvei kiberdrošības un mākslīgā intelekta tehnoloģiju izmantošanas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iekšējo vadības un kontroles sistēmu, lai nodrošinātu sekmīgu projekta īstenošanu, mērķu sasniegšanu un projektam piešķirto līdzekļu lietderīgu un efektīvu izlietošanu, finanšu līdzekļu plūsmas plānošanu un kontroli, uzskaites nodalīšanu finansējuma saņēmēja un sadarbības partnera grāmatvedības uzskaitē un finanšu pārskatu ticamības nodrošināšanu, tai skaitā nodalot funkcijas, kuras finansējuma saņēmējs un sadarbības partneris pilda projekta īstenošanā, no iestādes pamatfunkcijām un aprakstot, kādas darbības un uzraudzības instrumenti ir plānoti vai ieviesti projekta iesniedzēja un sadarbības partnera iestādē šajos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saturiskās vadības un uzraudzības procesu pārskatāmību.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Pēc projekta iesnieguma apstiprināšanas finansējuma saņēmējs ar sadarbības partneri slēdz sadarbības līgumu atbilstoši normatīvajiem aktiem par kārtību, kādā Eiropas Savienības fondu vadībā iesaistītās institūcijas nodrošina Eiropas Savienības fondu ieviešanu 2021.–2027. gada plānošanas periodā, iekļaujot līgumā arī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pienākumu un atbildības sadali projekta mērķu un rezultātu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18.</w:t>
      </w:r>
      <w:r w:rsidR="00000000" w:rsidRPr="00000000" w:rsidDel="00000000">
        <w:rPr>
          <w:rtl w:val="0"/>
        </w:rPr>
        <w:t xml:space="preserve"> punktā minēto atbalstāmo darbību īstenošanai un attiecināmo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 tiks sadalītas tiesības uz projekta rezultātiem (tai skaitā intelektuālā īpašuma tiesības) proporcionāli finansējuma saņēmēja un sadarbības partnera ieguldījumam projekta īstenošanā atbilstoši Eiropas Komisijas 2014. gada 21. marta Regulai Nr. 316/2014 par Līguma par Eiropas Savienības darbību 101. panta 3. punkta piemērošanu tehnoloģiju nodošanas nolīgumu kategorijām;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 notiks ar projekta īstenošanu saistīto tiesību un saistību nenodošana citai personai, izņemot gadījumu, ja sadarbības partnera tiesības un saistības tiek nodotas finansējuma saņēmējam un otrādi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pienākumu uzkrāt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partnera dokumentu, pārskatu un citas informācijas aprites un glabāšanas kārtību un termiņus.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specializētas kopīgas maģistra studiju programmas izstrāde, tai skaitā moduļu satura lietošanas tiesību iegāde (ja attiecināms), aprobācija, akreditācija un īstenošana kiberdrošības un mākslīgā intelekta tehnoloģiju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 personāla profesionālās kompetences pilnveide kiberdrošības un mākslīgā intelekta tehnoloģiju jomā;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profesūras tenūras amata vietu izveide kiberdrošības un mākslīgā intelekta tehnoloģiju jomā un darbības nodrošināšana projekta iesniedzēja un sadarbības partnera zinātnes universitātē, tai skaitā nodrošinot tenūrprofesora zinātniskās grupas izveidi un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zinātnes universitāšu un publisko iestāžu, organizāciju un saimnieciskās darbības veicēju efektīvas sadarbības platformas izveide būtiskāko kiberrisku un kiberapdraudējumu apzināšanai, to risināšanai nepieciešamo cilvēkresursu prasmju apzināšanai un uzlabošanai valsts izglītības sistēmas ietvaros, pētnieciskās kapacitātes attīstībai, lai iegūtu vairāk zināšanu un labāku izpratni, tostarp kopīgas pētniecības un izstrādes plānošanai un īstenošanai un pētniecības rezultātu izplatīšanai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prasību izstrāde un pilnveidošana, lai attīstītu arī studiju programmas profesionālā maģistra grāda iegūšanai kiberdrošības un mākslīgā intelekta tehnoloģiju jomā;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studiju un pētniecības procesam atbilstošās mācību un testēšanas vides un informācijas un komunikāciju tehnoloģiju infrastruktūras izveide un uzturēšana kiberdrošības un mākslīgā intelekta tehnoloģiju izmantošanas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publiskajās iestādēs, organizācijās un pie saimnieciskās darbības veicējiem nodarbināto personu zināšanu, kompetenču un prasmju novērtēšana, iegūto rezultātu analīze un konsultēšana piemērotāko mācību izvēlei;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studiju kursu, studiju moduļu un profesionālās pilnveides izglītības programmu apguve publiskajās iestādēs, organizācijās un pie saimnieciskās darbības veicējiem nodarbinātajām personām, nodrošinot iespēju apgūt darba tirgus prasībām atbilstošas profesionālās zināšanas un prasmes kiberdrošības un mākslīgā intelekta tehnoloģiju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izplatīšanas un mērķkomunikācijas pasākumi specializētās kopīgās maģistra studiju programmas reflektantu piesaistei, publisko iestāžu, organizāciju un saimnieciskās darbības veicēju piesaistei studiju kursu, studiju moduļu un profesionālās pilnveides izglītības programmu piedāvājuma īstenošanai, pētniecības un zināšanu pārneses rezultātu izplatīšanai, zināšanu uzkrāšanai un apmaiņai par kiberdrošības un mākslīgā intelekta tehnoloģiju izmantošanu;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atbalsts horizontālā principa "Vienlīdzība, iekļaušana, nediskriminācija un pamattiesību ievērošana" ievērošanai nepieciešamo pakalpojumu nodrošinājumam mērķa grupas personām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izmaksu un ieguvumu analīze, kas ietver finanšu analīzi un sociālekonomisko analīzi;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izmaksas, kas saistītas ar  projekta darbību īstenošanai un projekta rezultātu sasniegšanai atbilstošu apstākļu nodrošināšanu.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 minētās tiešās attiecināmās personāla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personāla izmaksas (izņemot virsstundas) šo noteikumu </w:t>
      </w:r>
      <w:r w:rsidR="00000000" w:rsidRPr="00000000" w:rsidDel="00000000">
        <w:rPr>
          <w:rtl w:val="0"/>
        </w:rPr>
        <w:t xml:space="preserve">18.</w:t>
      </w:r>
      <w:r w:rsidR="00000000" w:rsidRPr="00000000" w:rsidDel="00000000">
        <w:rPr>
          <w:rtl w:val="0"/>
        </w:rPr>
        <w:t xml:space="preserve"> punktā minēto darbību īstenošanai, paredzot projekta vadības personāla izmaksu ierobežojumu līdz 84 787 </w:t>
      </w:r>
      <w:r w:rsidR="00000000" w:rsidRPr="00000000" w:rsidDel="00000000">
        <w:rPr>
          <w:i w:val="1"/>
          <w:rtl w:val="0"/>
        </w:rPr>
        <w:t xml:space="preserve">euro  </w:t>
      </w:r>
      <w:r w:rsidR="00000000" w:rsidRPr="00000000" w:rsidDel="00000000">
        <w:rPr>
          <w:rtl w:val="0"/>
        </w:rPr>
        <w:t xml:space="preserve">no projekta ERAF finansējuma kalendāra gadā;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partnera projekta īstenošanas personāla izmaksas (izņemot virsstundas) šo noteikumu </w:t>
      </w:r>
      <w:r w:rsidR="00000000" w:rsidRPr="00000000" w:rsidDel="00000000">
        <w:rPr>
          <w:rtl w:val="0"/>
        </w:rPr>
        <w:t xml:space="preserve">18.</w:t>
      </w:r>
      <w:r w:rsidR="00000000" w:rsidRPr="00000000" w:rsidDel="00000000">
        <w:rPr>
          <w:rtl w:val="0"/>
        </w:rPr>
        <w:t xml:space="preserve"> punktā minēto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partnera projekta īstenošanas personāla izmaksas personālam ar noslodzi vismaz 30 procenti, ja personāla iesaiste projektā ir nodrošināta saskaņā ar daļlaika attiecināmības principu, atlīdzības izmaksās iekļaujot normatīvajos aktos darba tiesību un atlīdzības jomā noteiktās piemaksas un sociālo garantiju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partnera projekta īstenošanas personāla izmaksas, ja personāla iesaiste projektā ir nodrošināta saskaņā ar daļlaika attiecināmības principu, personālam ar noslodzi līdz 30 procentiem, atlīdzības izmaksās iekļaujot tikai darbinieka algu bez normatīvajos aktos darba tiesību un atlīdzības jomā noteiktajām piemaksām un sociālo garantiju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 minētās pārējās izmaksas plāno kā vienu izmaksu pozīciju, piemērojot vienoto likmi 40 procentu apmērā no šo noteikumu </w:t>
      </w:r>
      <w:r w:rsidR="00000000" w:rsidRPr="00000000" w:rsidDel="00000000">
        <w:rPr>
          <w:rtl w:val="0"/>
        </w:rPr>
        <w:t xml:space="preserve">19.1.</w:t>
      </w:r>
      <w:r w:rsidR="00000000" w:rsidRPr="00000000" w:rsidDel="00000000">
        <w:rPr>
          <w:rtl w:val="0"/>
        </w:rPr>
        <w:t xml:space="preserve"> apakšpunktā minētajām tiešajām attiecināmajām personāla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56. panta 1.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Atlīdzības apmēru projektā iesaistītajiem tenūrprofesoriem nosaka atbilstoši zinātnes universitātes atlīdzības politikā noteiktajiem atlīdzības nosacījumiem tenūrprofesoru atlīdzībai.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atbalstu sniedz, ja projekta izmaksu un ieguvumu analīze pamato projekta finanšu ilgtspēju un sociālekonomisko atdevi. Projekta sociālekonomiskās ietekmes novērtēšanai tiek izmantoti šādi kritēriji: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sociālekonomiskās ietekmes izvērtējums, tai skaitā ietekme uz tautsaimniecības attīstību un reģionālo izaugsmi;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atbilstība nacionālajiem un starptautiskajiem attīstības stratēģiskajiem dokumentiem un prioritātēm;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finansiālās atdeves potenciāla noteikšana, tostarp investīciju atmaksāšanās periods;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operacionālo risku analīze projekta ieviešanas un realizācijas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Plānojot studiju vides aprīkojuma izveidi un iegādi šo noteikumu </w:t>
      </w:r>
      <w:r w:rsidR="00000000" w:rsidRPr="00000000" w:rsidDel="00000000">
        <w:rPr>
          <w:rtl w:val="0"/>
        </w:rPr>
        <w:t xml:space="preserve">18.6.</w:t>
      </w:r>
      <w:r w:rsidR="00000000" w:rsidRPr="00000000" w:rsidDel="00000000">
        <w:rPr>
          <w:rtl w:val="0"/>
        </w:rPr>
        <w:t xml:space="preserve"> apakšpunktā minētās atbalstāmās darbības ietvaros, projekta iesniegumā pamato jaunas mācību infrastruktūras iegādes nepieciešamību un tās papildinātību ar finansējuma saņēmēja un sadarbības partnera rīcībā esošo studiju un pētniecības materiāltehnisko bāzi.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Ar saimniecisku darbību nesaistīta projekta īstenošanas nosacījumi un kritēriji tāda projekta novērtēšanai, kuram sniegtais atbalsts nav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finansējuma saņēmējs un sadarbības partneris īsteno ar saimniecisku darbību nesaistītu projektu. Īstenojot izglītības pasākumus, lai panāktu personāla skaita un kvalifikācijas paaugstināšanos, ievēro to, ka publiskā izglītība, kas tiek nodrošināta valsts izglītības sistēmas ietvaros un kas galvenokārt vai pilnībā ir valsts finansēta un uzraudzīta, nav saistīta ar saimniecisku  darbību  un ieņēmumi no studējošo mācību maksas par studiju programmu apgūšanu un studiju kursu, studiju moduļu un profesionālās pilnveides programmu īstenošanu nepārsniedz 50 procentus no kopējiem izdevumiem studiju programmu un studiju kursu, studiju moduļu un profesionālās pilnveides programmu sagatavošanai un īstenošanai.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iesniegumā plānotās darbības neatbilst šo noteikumu </w:t>
      </w:r>
      <w:r w:rsidR="00000000" w:rsidRPr="00000000" w:rsidDel="00000000">
        <w:rPr>
          <w:rtl w:val="0"/>
        </w:rPr>
        <w:t xml:space="preserve">25.</w:t>
      </w:r>
      <w:r w:rsidR="00000000" w:rsidRPr="00000000" w:rsidDel="00000000">
        <w:rPr>
          <w:rtl w:val="0"/>
        </w:rPr>
        <w:t xml:space="preserve"> punktā noteiktajiem kritērijiem, sadarbības iestāde projekta iesnieguma vērtēšanas laikā novērtē, vai finansējuma saņēmējs un sadarbības partneris īsteno projektu, kuram sniegtais atbalsts nav kvalificējams kā komercdarbības atbalsts un kuram nav ietekmes uz konkurenci un tirdzniecību Eiropas Savienības iekšējā tirgū atbilstoši kādam no šādiem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85 procenti un vairāk no visiem studējošajiem gadā ir Latvijas iedzīvotāji;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 pārsvarā notiek latviešu valodā;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 neierindojas 500 pasaules labāko universitāšu sarakstā.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 Projektu īsteno saskaņā ar noslēgto vienošanos par projekta īstenošanu, bet ne ilgāk kā līdz 2029. gada 30. novembrim.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finansējuma saņēmējam un sadarbības partnerim izmaksas ir attiecināmas, ja tās atbilst šajos noteikumos minētajām izmaksu pozīcijām un ir radušās ne agrāk kā dienā, kad ir apstiprināti noteikumi par pasākuma īstenošanu, un ir paredzētas apstiprinātā projekta iesniegumā.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Pievienotās vērtības nodoklis uzskatāms par attiecināmām izmaksām saskaņā ar regulas 2021/1060 64. panta 1. punkta "c" apakšpunktā ietvertajiem nosacījumiem, ja vien tas nav atgūstams saskaņā ar valsts normatīvajiem aktiem pievienotās vērtības nodokļa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un sadarbības partneris nodrošina, ka atklāts konkurss uz projektā paredzētajām profesūras tenūras amata vietām kiberdrošības un mākslīgā intelekta tehnoloģiju jomā tiek uzsākts pirmajā ceturksnī pēc tam, kad noslēgta vienošanās par projekta īstenošanu.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un sadarbības partneris nodrošina dubultā finansējuma neiestāšanos un pasākuma ietvaros plānotā atbalsta nepārklāšanos ar citiem valsts un ārvalstu finanšu atbalsta instrumentiem.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un sadarbības partneris īsteno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un sadarbības partneris savā tīmekļvietnē ievieto informāciju par projekta īstenošanas gaitu, tai skaitā sasniegtajiem rezultātiem, un aktualizē to, tiklīdz pieejama jaunāka informācija, bet ne retāk kā reizi trijos mēnešos.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un sadarbības partneris nodrošina projekta īstenošanai nepieciešamo personu datu apstrādi saskaņā ar Eiropas Parlamenta un Padomes 2016. gada 27. aprīļa Regulas (ES) 2016/679 par fizisku personu aizsardzību attiecībā uz personas datu apstrādi un šādu datu brīvu apriti un ar ko atceļ Direktīvu 95/46/EK (Vispārīgā datu aizsardzības regula), 5. panta 1. punkta "a" apakšpunktu – likumīgā, godprātīgā un datu subjektam pārredzamā veidā.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un sadarbības partneris projekta īstenošanai nepieciešamo preču un pakalpojumu iegādi veic  pārredzamā, nediskriminējošā un konkurenci nodrošinošā procedūrā saskaņā ar publisko iepirkumu reglamentējošajiem normatīvajiem aktiem, izvērtējot iespējas īstenot sociāli atbildīgu publisko iepirkumu un inovatīvu publisko iepirkumu. Var paredzēt vides prasību un inovatīva risinājuma integrāciju preču un pakalpojumu iepirkumos (zaļais publiskais iepirkums un inovāciju publiskais iepirkums).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un sadarbības partneris iegūst, apstrādā un uzkrāj Kohēzijas politikas fondu vadības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saimnieciskās darbības veicēju, kurā nodarbināts mācībās iesaistītais darbinieks (nosaukums, reģistrācijas numurs, komersanta pārstāvētā nozare saskaņā ar NACE 2.1. redakciju, komersanta statuss);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mācībās iesaistīto publisko institūciju, organizāciju un saimnieciskās darbības veicēju darbinieku skaitu dalījumā pēc dzimuma, vecuma (vārds, uzvārds, personas kods, mācību nosaukums, izglītības programmas klasifikācijas kods, mācību sākuma un beigu datums, darbinieka amats, darbinieka profesijas kods) un apgūto prasmju veida, lai nodrošinātu </w:t>
      </w:r>
      <w:r w:rsidR="00000000" w:rsidRPr="00000000" w:rsidDel="00000000">
        <w:rPr>
          <w:rtl w:val="0"/>
        </w:rPr>
        <w:t xml:space="preserve">7.1.1.</w:t>
      </w:r>
      <w:r w:rsidR="00000000" w:rsidRPr="00000000" w:rsidDel="00000000">
        <w:rPr>
          <w:rtl w:val="0"/>
        </w:rPr>
        <w:t xml:space="preserve"> apakšpunktā noteiktā pasākuma rezultāta rādītāja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šo noteikumu </w:t>
      </w:r>
      <w:r w:rsidR="00000000" w:rsidRPr="00000000" w:rsidDel="00000000">
        <w:rPr>
          <w:rtl w:val="0"/>
        </w:rPr>
        <w:t xml:space="preserve">7.2.</w:t>
      </w:r>
      <w:r w:rsidR="00000000" w:rsidRPr="00000000" w:rsidDel="00000000">
        <w:rPr>
          <w:rtl w:val="0"/>
        </w:rPr>
        <w:t xml:space="preserve"> apakšpunktā un </w:t>
      </w:r>
      <w:r w:rsidR="00000000" w:rsidRPr="00000000" w:rsidDel="00000000">
        <w:rPr>
          <w:rtl w:val="0"/>
        </w:rPr>
        <w:t xml:space="preserve">8.</w:t>
      </w:r>
      <w:r w:rsidR="00000000" w:rsidRPr="00000000" w:rsidDel="00000000">
        <w:rPr>
          <w:rtl w:val="0"/>
        </w:rPr>
        <w:t xml:space="preserve"> punktā minētajiem rādītājiem, kurus iesniedz arī atbildīgajā iestādē pēc tās pieprasījuma;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projekta ietekmi uz horizontālā principa "Vienlīdzība, iekļaušana, nediskriminācija un pamattiesību ievērošana" rādītāju "Sieviešu skaits atbalsta saņēmēju vidū".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un sadarbības partneris nodrošina atsevišķu ar saimniecisko darbību nesaistīto darījumu ieņēmumu un izdevumu grāmatvedības uzskaiti, kā arī minēto darījumu finanšu plūsmu nodalīšanu atbilstoši normatīvajiem aktiem par gada pārskata sagatavošanas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saņēmējam un sadarbības partnerim ir pienākums iegūt, apkopot un uzkrāt mācībās iesaistītajās iestādēs, organizācijās un pie saimnieciskās darbības veicējiem nodarbināto personu sniegto novērtējumu par mācībās iegūto prasmju un zināšanu ietekmi.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saskaņā ar vienošanos par projekta īstenošanu finansējuma saņēmējam ir paredzēts avanss, to var izmaksāt pa daļām. Viens avansa maksājums nepārsniedz 30 procentus no projektam piešķirtā ERAF finansējuma un valsts budžeta līdzfinansējuma kopsummas. Finansējuma saņēmējam avansa un starpposma maksājumu kopsumma var būt 100 procenti no projektam piešķirtā ERAF finansējuma un valsts budžeta līdzfinansējuma kopsummas.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projekta īstenošanas gaitā rodas izmaksu sadārdzinājums, finansējuma saņēmējs un sadarbības partneris to sedz no saviem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īstenošanas uzraudzībai saskaņā ar Eiropas Savienības fondu 2021.–2027. gada plānošanas perioda vadības likumu, tai skaitā finansējuma saņēmēja iesniegto projekta īstenošanas gaitas pārskatu izvērtēšanai, sasniegto iznākuma un rezultātu rādītāju izpildes progresa novērtējumam, projekta ieviešanas problēmu un risku identificēšanai un konstatēto risku un problēmu novēršanai, kā arī projekta īstenošanas nosacījumu pilnveidei atbildīgā iestāde pēc nepieciešamības, bet ne retāk kā reizi divos mēnešos organizē atbildīgās iestādes, finansējuma saņēmēja un sadarbības partnera starpinstitūciju sanāksmes par projekta ieviešanas progresu un citiem ar projekta īstenošanu un uzraudzību saistītiem jautājumiem.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un sadarbības partneris nodrošina projekta ietvaros izveidoto tenūrprofesoru amatu darbību attiecīgajā zinātnes universitātē visā projekta dzīves ciklā.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25-TA-274</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25-TA-274</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noteikumu_projekts_25-TA-274.docx</dc:title>
</cp:coreProperties>
</file>

<file path=docProps/custom.xml><?xml version="1.0" encoding="utf-8"?>
<Properties xmlns="http://schemas.openxmlformats.org/officeDocument/2006/custom-properties" xmlns:vt="http://schemas.openxmlformats.org/officeDocument/2006/docPropsVTypes"/>
</file>