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81.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 sk. uzlabojot tālākizglītības pieejamību"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pasākumu "Uzlabot izglītības iespējas ārstniecības personām, t. sk. uzlabojot tālākizglītības pieejamību"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atbalsta veids ir grants (dotācija).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 un plānotie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uzlabot ārstniecības personu, ārstniecības atbalsta personu, farmaceitiskās aprūpes pakalpojumu sniedzēju un sociālajā jomā strādājošo speciālistu kvalifikāciju, prasmes un iemaņas, kā arī pilnveidot zināšanas un uzlabot veselības aprūpes pakalpojumu pieejamību iedzīvotājiem.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ārstniecības personas, ārstniecības atbalsta personas, sociālajā jomā strādājošie speciālisti darbam integrētajā veselības aprūpē multidisciplināro komandu ietvaros, farmaceitiskās aprūpes pakalpojumu sniedzēji, klīniskie psihologi un rezidenti īpaši atbalstāmajās specialitātēs.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rezultāta rādītājs "dalībnieki, kas ieguvuši kvalifikāciju pēc dalības" – līdz 2029. gada 31. decembrim kvalifikāciju būs ieguvuši 15 562 dalībnieki.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iznākuma rādītājs "personas ar vidējo izglītību" – līdz 2029. gada 31. decembrim apmācībās piedalījušās 1 549 personas ar vidējo izglītību, tai skaitā līdz 2024. gada 31. decembrim – 26 personas ar vidējo izglītību.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iznākuma rādītājs "personas ar augstāko izglītību" – līdz 2029. gada 31. decembrim apmācībās piedalījušās 14 013 personas ar augstāko izglītību, tai skaitā līdz 2024. gada 31. decembrim – 235 personas ar augstāko izglītību.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Pasākumam plānotais kopējais finansējums ir 17 400 000</w:t>
      </w:r>
      <w:r w:rsidR="00000000" w:rsidRPr="00000000" w:rsidDel="00000000">
        <w:rPr>
          <w:i w:val="1"/>
          <w:rtl w:val="0"/>
        </w:rPr>
        <w:t xml:space="preserve"> euro </w:t>
      </w:r>
      <w:r w:rsidR="00000000" w:rsidRPr="00000000" w:rsidDel="00000000">
        <w:rPr>
          <w:rtl w:val="0"/>
        </w:rPr>
        <w:t xml:space="preserve">(no tā elastības finansējums 4 715 030</w:t>
      </w:r>
      <w:r w:rsidR="00000000" w:rsidRPr="00000000" w:rsidDel="00000000">
        <w:rPr>
          <w:i w:val="1"/>
          <w:rtl w:val="0"/>
        </w:rPr>
        <w:t xml:space="preserve"> euro</w:t>
      </w:r>
      <w:r w:rsidR="00000000" w:rsidRPr="00000000" w:rsidDel="00000000">
        <w:rPr>
          <w:rtl w:val="0"/>
        </w:rPr>
        <w:t xml:space="preserve">), tai skaitā Eiropas Sociālā fonda Plus finansējums 14 790 000 </w:t>
      </w:r>
      <w:r w:rsidR="00000000" w:rsidRPr="00000000" w:rsidDel="00000000">
        <w:rPr>
          <w:i w:val="1"/>
          <w:rtl w:val="0"/>
        </w:rPr>
        <w:t xml:space="preserve">euro</w:t>
      </w:r>
      <w:r w:rsidR="00000000" w:rsidRPr="00000000" w:rsidDel="00000000">
        <w:rPr>
          <w:rtl w:val="0"/>
        </w:rPr>
        <w:t xml:space="preserve"> (no tā elastības finansējums 4 007 776</w:t>
      </w:r>
      <w:r w:rsidR="00000000" w:rsidRPr="00000000" w:rsidDel="00000000">
        <w:rPr>
          <w:i w:val="1"/>
          <w:rtl w:val="0"/>
        </w:rPr>
        <w:t xml:space="preserve"> euro</w:t>
      </w:r>
      <w:r w:rsidR="00000000" w:rsidRPr="00000000" w:rsidDel="00000000">
        <w:rPr>
          <w:rtl w:val="0"/>
        </w:rPr>
        <w:t xml:space="preserve">) un valsts budžeta līdzfinansējums 2 610 000 </w:t>
      </w:r>
      <w:r w:rsidR="00000000" w:rsidRPr="00000000" w:rsidDel="00000000">
        <w:rPr>
          <w:i w:val="1"/>
          <w:rtl w:val="0"/>
        </w:rPr>
        <w:t xml:space="preserve">euro</w:t>
      </w:r>
      <w:r w:rsidR="00000000" w:rsidRPr="00000000" w:rsidDel="00000000">
        <w:rPr>
          <w:rtl w:val="0"/>
        </w:rPr>
        <w:t xml:space="preserve"> (no tā elastības finansējums 707 254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Pasākumam pieejamais kopējais finansējums, lai izsludinātu projektu iesniegumu atlasi un slēgtu vienošanos par projektu īstenošanu, ir 12 684 970 </w:t>
      </w:r>
      <w:r w:rsidR="00000000" w:rsidRPr="00000000" w:rsidDel="00000000">
        <w:rPr>
          <w:i w:val="1"/>
          <w:rtl w:val="0"/>
        </w:rPr>
        <w:t xml:space="preserve">euro</w:t>
      </w:r>
      <w:r w:rsidR="00000000" w:rsidRPr="00000000" w:rsidDel="00000000">
        <w:rPr>
          <w:rtl w:val="0"/>
        </w:rPr>
        <w:t xml:space="preserve">, tai skaitā Eiropas Sociālā fonda Plus finansējums – 10 782 224 </w:t>
      </w:r>
      <w:r w:rsidR="00000000" w:rsidRPr="00000000" w:rsidDel="00000000">
        <w:rPr>
          <w:i w:val="1"/>
          <w:rtl w:val="0"/>
        </w:rPr>
        <w:t xml:space="preserve">euro</w:t>
      </w:r>
      <w:r w:rsidR="00000000" w:rsidRPr="00000000" w:rsidDel="00000000">
        <w:rPr>
          <w:rtl w:val="0"/>
        </w:rPr>
        <w:t xml:space="preserve"> un valsts budžeta līdzfinansējums – 1 902 746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20.4. </w:t>
      </w:r>
      <w:r w:rsidR="00000000" w:rsidRPr="00000000" w:rsidDel="00000000">
        <w:rPr>
          <w:rtl w:val="0"/>
        </w:rPr>
        <w:t xml:space="preserve">apakšpunktā minētās atbalstāmās darbības finansējums noteikts atbilstoši iedzīvotāju un veselības nozares vajadzībām un nepārsniedz 5 786 929 </w:t>
      </w:r>
      <w:r w:rsidR="00000000" w:rsidRPr="00000000" w:rsidDel="00000000">
        <w:rPr>
          <w:i w:val="1"/>
          <w:rtl w:val="0"/>
        </w:rPr>
        <w:t xml:space="preserve">euro</w:t>
      </w:r>
      <w:r w:rsidR="00000000" w:rsidRPr="00000000" w:rsidDel="00000000">
        <w:rPr>
          <w:rtl w:val="0"/>
        </w:rPr>
        <w:t xml:space="preserve">, tai skaitā Eiropas Sociālā fonda Plus finansējums nepārsniedz 4 918 890 </w:t>
      </w:r>
      <w:r w:rsidR="00000000" w:rsidRPr="00000000" w:rsidDel="00000000">
        <w:rPr>
          <w:i w:val="1"/>
          <w:rtl w:val="0"/>
        </w:rPr>
        <w:t xml:space="preserve">euro</w:t>
      </w:r>
      <w:r w:rsidR="00000000" w:rsidRPr="00000000" w:rsidDel="00000000">
        <w:rPr>
          <w:rtl w:val="0"/>
        </w:rPr>
        <w:t xml:space="preserve"> un valsts budžeta līdzfinansējums nepārsniedz 868 039 </w:t>
      </w:r>
      <w:r w:rsidR="00000000" w:rsidRPr="00000000" w:rsidDel="00000000">
        <w:rPr>
          <w:i w:val="1"/>
          <w:rtl w:val="0"/>
        </w:rPr>
        <w:t xml:space="preserve">euro.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11.</w:t>
      </w:r>
      <w:r w:rsidR="00000000" w:rsidRPr="00000000" w:rsidDel="00000000">
        <w:rPr>
          <w:rtl w:val="0"/>
        </w:rPr>
        <w:t xml:space="preserve"> punktā minētajam plānotajam kopējam finansējuma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Maksimālais Eiropas Sociālā fonda Plus finansējuma apmērs nepārsniedz 85 procentus no projekta plānotā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ne agrāk par 2024. gada 1. janvāri.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projekta vērtēšanai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ir arī finansējuma saņēmējs, pasākuma ietvaros ir vadošā valsts pārvaldes iestāde veselības nozarē – Veselības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tai skaitā ar parakstu apliecina projekta iesniedzēja interešu konflikta neesību atbilstoši Eiropas Parlamenta un Padomes 2018. gada 18. jūlija Regulas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pantam un publisko iepirkumu jomu regulējošajiem normatīvajiem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iesnieguma vērtēšanas komisijā sadarbības iestāde iekļauj arī pārstāvi no Veselības ministrijas kā nozares ministrijas un pārstāvi no Veselības ministrijas kā atbildīgās iestādes.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Pasākuma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personu, ārstniecības atbalsta personu un farmaceitiskās aprūpes pakalpojumu sniedzēju un klīnisko psihologu apmācības;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sociālajā jomā strādājošo speciālistu apmācības darbam integrētajā veselības aprūpē multidisciplināro komandu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rezidentu, īpaši atbalstāmajās specialitātēs, atbalsta pasākumu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minētās atbalstāmās darbības ietvaros ir attiecināmas izmaksas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kuras projekta iesniegumā plāno kā vienu izmaksu pozīciju, piemērojot izmaksu vienoto likmi 11 procentu apmērā no pārējām šo noteikumu </w:t>
      </w:r>
      <w:r w:rsidR="00000000" w:rsidRPr="00000000" w:rsidDel="00000000">
        <w:rPr>
          <w:rtl w:val="0"/>
        </w:rPr>
        <w:t xml:space="preserve">27.2.</w:t>
      </w:r>
      <w:r w:rsidR="00000000" w:rsidRPr="00000000" w:rsidDel="00000000">
        <w:rPr>
          <w:rtl w:val="0"/>
        </w:rPr>
        <w:t xml:space="preserve"> apakšpunktā minētajām projekta tiešajām attiecināmajām īstenošanas izmaksām. Minētās atbalstāmās darbības ietvaros ir attiecināmas finansējuma saņēmēja projekta vadības personāla un īstenošanas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apakšpunktā minētās atbalstāmās darbības ietvaros ir attiecināmas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plāna, programmu, apmācību materiālu un apmācību metodiku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organizēšanas izmaksas, tai skaitā izmaksas, kas saistītas ar pieredzes apmaiņas pasākumu organizēšanu Latvijā;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pieredzes apmaiņas pasākumiem ārvalstīs un Latvijā, tai skaitā atbilstoši normatīvajiem aktiem, kas nosaka kārtību, kādā atlīdzināmi ar komandējumiem saistītie izdevumi, kā arī atbilstoši šo noteikumu 36. punktā minētajai apmācību kvalitātes novērtēšanas un apmeklējuma uzskaites kārtībai, piemērojot Vienas vienības izmaksu standarta likmes aprēķina un piemērošanas metodiku 1 km izmaksām darbības programmas "Izaugsme un nodarbinātība" un Eiropas Savienības kohēzijas politikas programmas 2021.–2027. gadam īstenošanai, kā arī Vienas vienības izmaksu standarta likmes aprēķina un piemērošanas metodiku iekšzemes komandējumu izmaksām darbības programmas "Izaugsme un nodarbinātība" un Eiropas Savienības kohēzijas politikas programmas 2021.–2027. gadam īstenošanai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apakšpunktā minētās atbalstāmās darbības finansējums nepārsniedz trīs procentus no šo noteikumu </w:t>
      </w:r>
      <w:r w:rsidR="00000000" w:rsidRPr="00000000" w:rsidDel="00000000">
        <w:rPr>
          <w:rtl w:val="0"/>
        </w:rPr>
        <w:t xml:space="preserve">11.</w:t>
      </w:r>
      <w:r w:rsidR="00000000" w:rsidRPr="00000000" w:rsidDel="00000000">
        <w:rPr>
          <w:rtl w:val="0"/>
        </w:rPr>
        <w:t xml:space="preserve"> punktā noteiktā plānotā kopējā finansējuma, un tās ietvaros ir attiecināmas apmācību izmaksas par prasmēm, kas sociālā pakalpojuma sniegšanas ietvaros ļauj identificēt nepieciešamību piesaistīt ārstniecības personālu.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punktā minētās izmaksas attiecināmas par mācību dalībniekiem, kuri apmeklējuši vismaz 75 procentus no mācību kursa atbilstoši šo noteikumu </w:t>
      </w:r>
      <w:r w:rsidR="00000000" w:rsidRPr="00000000" w:rsidDel="00000000">
        <w:rPr>
          <w:rtl w:val="0"/>
        </w:rPr>
        <w:t xml:space="preserve">37.</w:t>
      </w:r>
      <w:r w:rsidR="00000000" w:rsidRPr="00000000" w:rsidDel="00000000">
        <w:rPr>
          <w:rtl w:val="0"/>
        </w:rPr>
        <w:t xml:space="preserve"> punktā noteiktajai apmācību kvalitātes novērtēšanas un apmeklējuma uzskaites kārtībai.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20.4.</w:t>
      </w:r>
      <w:r w:rsidR="00000000" w:rsidRPr="00000000" w:rsidDel="00000000">
        <w:rPr>
          <w:rtl w:val="0"/>
        </w:rPr>
        <w:t xml:space="preserve"> apakšpunktā minētās atbalstāmās darbības izmaksas ir attiecināmas par rezidentu atbalsta pasākumiem šo noteikumu </w:t>
      </w:r>
      <w:r w:rsidR="00000000" w:rsidRPr="00000000" w:rsidDel="00000000">
        <w:rPr>
          <w:rtl w:val="0"/>
        </w:rPr>
        <w:t xml:space="preserve">13.</w:t>
      </w:r>
      <w:r w:rsidR="00000000" w:rsidRPr="00000000" w:rsidDel="00000000">
        <w:rPr>
          <w:rtl w:val="0"/>
        </w:rPr>
        <w:t xml:space="preserve"> punktā noteiktajā apmērā atbilstoši šo noteikumu </w:t>
      </w:r>
      <w:r w:rsidR="00000000" w:rsidRPr="00000000" w:rsidDel="00000000">
        <w:rPr>
          <w:rtl w:val="0"/>
        </w:rPr>
        <w:t xml:space="preserve">34.</w:t>
      </w:r>
      <w:r w:rsidR="00000000" w:rsidRPr="00000000" w:rsidDel="00000000">
        <w:rPr>
          <w:rtl w:val="0"/>
        </w:rPr>
        <w:t xml:space="preserve"> punktā minētajām Cilvēkresursu apmācību plānā noteiktajām atbalstāmajām darbībām un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20.5.</w:t>
      </w:r>
      <w:r w:rsidR="00000000" w:rsidRPr="00000000" w:rsidDel="00000000">
        <w:rPr>
          <w:rtl w:val="0"/>
        </w:rPr>
        <w:t xml:space="preserve"> apakšpunktā minētā atbalstāmā darbība ietver komunikācijas un vizuālās identitātes prasību nodrošināšanas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punktā minēto atbalstāmo darbību izmaksas veido projekta tiešās attiecināmās izmaksas, tai skaitā: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punktā minētās projekta tiešās attiecināmās personāla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25. </w:t>
      </w:r>
      <w:r w:rsidR="00000000" w:rsidRPr="00000000" w:rsidDel="00000000">
        <w:rPr>
          <w:rtl w:val="0"/>
        </w:rPr>
        <w:t xml:space="preserve">un </w:t>
      </w:r>
      <w:r w:rsidR="00000000" w:rsidRPr="00000000" w:rsidDel="00000000">
        <w:rPr>
          <w:rtl w:val="0"/>
        </w:rPr>
        <w:t xml:space="preserve">26.</w:t>
      </w:r>
      <w:r w:rsidR="00000000" w:rsidRPr="00000000" w:rsidDel="00000000">
        <w:rPr>
          <w:rtl w:val="0"/>
        </w:rPr>
        <w:t xml:space="preserve"> punktā minētās projekta pārējās tiešās attiecināmās īstenošanas izmaksas, un šīs piegāžu un pakalpojumu izmaksas ir attiecināmas, ja tās radušās, ievērojot publisko iepirkumu jomu regulējošos normatīvos aktus.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w:t>
      </w:r>
      <w:r w:rsidR="00000000" w:rsidRPr="00000000" w:rsidDel="00000000">
        <w:rPr>
          <w:rtl w:val="0"/>
        </w:rPr>
        <w:t xml:space="preserve">21.</w:t>
      </w:r>
      <w:r w:rsidR="00000000" w:rsidRPr="00000000" w:rsidDel="00000000">
        <w:rPr>
          <w:rtl w:val="0"/>
        </w:rPr>
        <w:t xml:space="preserve"> punktā minētajām tiešajām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apakšpunktu, ja vien tie nav atgūstami saskaņā ar nacionālajiem tiesību aktiem pievienotās vērtības nodokļa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Projekta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piecu darbdienu laikā pēc projekta iesnieguma apstiprināšanas izveido Cilvēkresursu apmācību konsultatīvo darba grupu (turpmāk – konsultatīvā darba grupa), kuras sastāvā pieaicina: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pastāvīgo locekļu statusā ar balsstiesībām – Veselības ministrijas kā nozares ministrijas, Slimību profilakses un kontroles centra, Veselības inspekcijas un Nacionālā veselības dienesta pārstāvjus;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novērotāju statusā bez balsstiesībām – atbildīgās iestādes pārstāvjus, Veselības aprūpes darba devēju asociācijas, Latvijas Māsu asociācijas, Latvijas Ārstu biedrības, Latvijas Ārstniecības personu profesionālo organizāciju savienības, Latvijas Slimnīcu biedrības, Latvijas Farmaceitu biedrības, Latvijas Ģimenes ārstu asociācijas un Latvijas Lauku ģimenes ārstu asociācijas pārstāvjus.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konsultatīvās darba grupas sanāksmes organizē pēc nepieciešamības, bet ne retāk kā reizi gadā.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Konsultatīvās darba grupas kompetencē ietilpst: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un saskaņot Cilvēkresursu apmācību plānu, kas nosaka nepieciešamo apmācību nodrošināšanu, tai skaitā profesionālo pilnveidi, pieredzes apmaiņu, studiju programmas, tālākizglītību;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Cilvēkresursu apmācību plāna izpildi;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saskaņot cilvēkresursu apmācību un pieredzes apmaiņas pasākumu kārtību, kādā veicami šie pasākumi;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rezidentu atbalsta pasākumu saskaņošana.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izstrādā kārtību, kādā veicama apmācāmo un rezidentu piesaiste un kā tiek pārbaudīta viņu atbilstība mērķa grupai valsts informācijas sistēmās, kā arī paredz apmācāmo un rezidentu atlases nosacījumus, pieredzes apmaiņas pasākumu izvērtēšanas kritērijus un atbalsta piešķiršanas strīdu risināšanas kārtību starp finansējuma saņēmēju un rezidentu.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sagatavo Cilvēkresursu apmācību plānu un iesniedz to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vismaz reizi gadā izvērtē Cilvēkresursu apmācību plāna izpildes rezultātus un efektivitāti, tostarp priekšlikumus Cilvēkresursu apmācības plāna aktualizācijai, un izvērtējumu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Cilvēkresursu apmācību plānā iekļauj informāciju par apmācībām prioritārā secībā: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paredzot zemākas prioritātes rezerves apmācības, ja tiek piešķirts papildu finansējums vai samazinās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norādot plānoto apmācību tēmu, mērķauditoriju, dalībnieku skaitu, ilgumu, plānotās izmaksas un vietu.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līdz 2024. gada 31. jūlijam nodrošina apmācību kvalitātes novērtēšanas un apmeklējuma uzskaites kārtības izstrādi un nosaka, kurām apmācībām ir piemērojama konkrētā apmācību kvalitātes novērtēšanas, apmeklējuma uzskaites un apmācību apliecinoša dokumenta izsniegšanas kārtība. Finansējuma saņēmējs apstiprināto apmācību kvalitātes novērtēšanas un apmeklējuma uzskaites kārtību iesniedz sadarbības iestādē.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apmācību dalībniekam, kas atbilstoši šo noteikumu </w:t>
      </w:r>
      <w:r w:rsidR="00000000" w:rsidRPr="00000000" w:rsidDel="00000000">
        <w:rPr>
          <w:rtl w:val="0"/>
        </w:rPr>
        <w:t xml:space="preserve">24.</w:t>
      </w:r>
      <w:r w:rsidR="00000000" w:rsidRPr="00000000" w:rsidDel="00000000">
        <w:rPr>
          <w:rtl w:val="0"/>
        </w:rPr>
        <w:t xml:space="preserve"> punktā minētajām apmācību prasībām ir pabeidzis apmācības, izsniedz attiecīgo apmācību apguvi apliecinošu dokumentu atbilstoši šo noteikumu </w:t>
      </w:r>
      <w:r w:rsidR="00000000" w:rsidRPr="00000000" w:rsidDel="00000000">
        <w:rPr>
          <w:rtl w:val="0"/>
        </w:rPr>
        <w:t xml:space="preserve">37.</w:t>
      </w:r>
      <w:r w:rsidR="00000000" w:rsidRPr="00000000" w:rsidDel="00000000">
        <w:rPr>
          <w:rtl w:val="0"/>
        </w:rPr>
        <w:t xml:space="preserve"> punktā minētajai apmācību kvalitātes novērtēšanas un apmeklējuma uzskaites kārtībai.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nodrošina, lai informācija par apmācībām un atbalsta pasākumiem rezidentiem, kā arī apmācību programmas un materiāli būtu publiski pieejami tīmekļvietnē </w:t>
      </w:r>
      <w:r w:rsidR="00000000" w:rsidRPr="00000000" w:rsidDel="00000000">
        <w:rPr>
          <w:rtl w:val="0"/>
        </w:rPr>
        <w:t xml:space="preserve">https://www.talakizglitiba.lv/</w:t>
      </w:r>
      <w:r w:rsidR="00000000" w:rsidRPr="00000000" w:rsidDel="00000000">
        <w:rPr>
          <w:rtl w:val="0"/>
        </w:rPr>
        <w:t xml:space="preserve">, un paredz iespēju anonīmi izteikt ierosinājumus un iebildumus par apmācībām. Aktuālo informāciju par projekta īstenošanu finansējuma saņēmējs ievieto savā tīmekļvietnē (</w:t>
      </w:r>
      <w:r w:rsidR="00000000" w:rsidRPr="00000000" w:rsidDel="00000000">
        <w:rPr>
          <w:rtl w:val="0"/>
        </w:rPr>
        <w:t xml:space="preserve">https://www.talakizglitiba.lv/</w:t>
      </w:r>
      <w:r w:rsidR="00000000" w:rsidRPr="00000000" w:rsidDel="00000000">
        <w:rPr>
          <w:rtl w:val="0"/>
        </w:rPr>
        <w:t xml:space="preserve">) un sociālajos tīklos, tiklīdz tā ir pieejama, bet ne retāk kā reizi trijos mēnešos.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uzkrāj:</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projekta ietvaros apmācības saņēmušajām personām un atbalstu saņēmušajiem rezidentiem atbilstoši Eiropas Parlamenta un Padomes 2021. gada 24. jūnija Regulas (ES) 2021/1057, ar ko izveido Eiropas Sociālo fondu Plus un atceļ Regulu (ES) Nr. 1296/2013, I pielikumam un normatīvajam aktam, kas nosaka Eiropas Savienības fondu projektu pārbaužu veikšanas kārtību 2021.–2027. gada plānošanas periodā;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horizontālā principa "Vienlīdzība, iekļaušana, nediskriminācija un pamattiesību ievērošana" rādītāju – personu skaits, kuras ir piedalījušās apmācību programmās, kurās ir integrēti jautājumi par dzimumu līdztiesības, personu ar invaliditāti vienlīdzīgu iespēju, vecuma nediskriminācijas, etniskās un citas piederības un pamattiesību jautājumiem, tostarp par to tiesiskajiem un praktiskajiem aspektiem.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iepirkumi, kas nepieciešami atbalstāmo darbību īstenošanai, tiek veikti kā sociāli atbildīgi iepirkumi un atbilstoši Eiropas Savienības un Latvijas Republikas iepirkumu regulējošos normatīvajos aktos noteiktajai kārtībai, īstenojot atklātu, pārredzamu, nediskriminējošu un konkurenci nodrošinošu procedūru;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iekšējās kontroles sistēmu korupcijas un interešu konflikta riska novēršanai publiskas personas institūcijā atbilstoši normatīvajam regulējumam par iekšējās kontroles sistēmas pamatprasībām korupcijas un interešu konflikta riska novēršanai publiskas personas institūcijā;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komunikācijas un vizuālās identitātes nosacījumu ievērošanu atbilstoši regulas Nr. </w:t>
      </w:r>
      <w:r w:rsidR="00000000" w:rsidRPr="00000000" w:rsidDel="00000000">
        <w:rPr>
          <w:rtl w:val="0"/>
        </w:rPr>
        <w:t xml:space="preserve">2021/1060</w:t>
      </w:r>
      <w:r w:rsidR="00000000" w:rsidRPr="00000000" w:rsidDel="00000000">
        <w:rPr>
          <w:rtl w:val="0"/>
        </w:rPr>
        <w:t xml:space="preserve"> 47. un 50. pantam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vispārīgās un specifiskās darbības, kas veicina vienlīdzību, iekļaušanu, nediskrimināciju un pamattiesību ievērošanu, tai skaitā zīmju valodas tulka, vieglās valodas, Braila raksta drukas, reāllaika transkripcijas un subtitru sagatavošanas pakalpojumu, kā arī vides piekļūstamības ekspertu konsultācijas, ja tās ir nepieciešamas vides un informācijas piekļūstamībai;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tos nav plānots finansēt vai līdzfinansēt no citiem valsts vai ārvalstu finanšu atbalsta instrumentiem, kā arī novērš dubultā finansējuma risku.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un pakalpojumu iepirkumos (zaļais publiskais iepirkums).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Pasākuma ietvaros projektus īsteno saskaņā ar vienošanos par projektu īstenošanu, kas noslēgta starp finansējuma saņēmēju un sadarbības iestādi, bet ne ilgāk kā līdz 2029. gada 31. decembrim.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Valsts atbalsts komercdarbībai un tā saņemšanas nosacījumi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Pasākuma ietvaros atbalsts tiek piešķirts valsts deleģēto funkciju apmācību nodrošināšanai, un tas nav uzskatāms par komercdarbības atbalstu.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ir konstatēts, ka ar saimniecisko darbību nesaistīts projekts tā ieviešanas gaitā vai projekta pārskata periodā (projekta dzīves cikla laikā) kļūst par projektu, kas saistīts ar saimniecisku darbību, atbalsta saņēmējam ir pienākums atmaksāt sadarbības iestādei saņemto nelikumīgo komercdarbības atbalstu no līdzekļiem, kas nav saistīti ar valsts atbalstu, atbilstoši Komercdarbības atbalsta kontroles likuma IV un V nodaļas nosacījumiem.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23-TA-2102</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23-TA-2102</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noteikumu_projekts_23-TA-2102.docx</dc:title>
</cp:coreProperties>
</file>

<file path=docProps/custom.xml><?xml version="1.0" encoding="utf-8"?>
<Properties xmlns="http://schemas.openxmlformats.org/officeDocument/2006/custom-properties" xmlns:vt="http://schemas.openxmlformats.org/officeDocument/2006/docPropsVTypes"/>
</file>