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realizē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tādējādi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Izdevumus, kas saistīti ar izglītības programmas īstenošanu sociālās korekcijas izglītības iestādē, sedz no valsts budžeta līdzekļiem, kas šim mērķim piešķirti saskaņā ar gadskārtējo valsts budžeta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noteikumu_konsolidētā_versija_p13_22-TA-3797.docx</dc:title>
</cp:coreProperties>
</file>

<file path=docProps/custom.xml><?xml version="1.0" encoding="utf-8"?>
<Properties xmlns="http://schemas.openxmlformats.org/officeDocument/2006/custom-properties" xmlns:vt="http://schemas.openxmlformats.org/officeDocument/2006/docPropsVTypes"/>
</file>