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451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jūlijā (prot. Nr. 28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22. augusta noteikumos Nr. 475 "Eiropas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otrās kārtas īstenošanas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22. augusta noteikumos Nr. 475 "Eiropas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otrās kārtas īstenošanas un uzraudzības noteikumi" (Latvijas Vēstnesis, 2023, 164.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līguma vai vienošanās par projekta īstenošanu (turpmāk – līgums) saturu, slēgšanas un grozīšanas kārtību, tai skaitā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 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Investīcijas otrās kārtas mērķa grupa ir pensijas vecuma personas, kurām pašvaldības sociālais dienests ir piešķīris ilgstošas sociālās aprūpes un sociālās rehabilitācijas pakalpojumu institūcijā, ja izdevumus par šo pakalpojumu ne vairāk kā 85 procentu apmērā no Sociālo pakalpojumu un sociālās palīdzības likuma 13.</w:t>
      </w:r>
      <w:r w:rsidR="00000000" w:rsidRPr="00000000" w:rsidDel="00000000">
        <w:rPr>
          <w:vertAlign w:val="superscript"/>
          <w:rtl w:val="0"/>
        </w:rPr>
        <w:t xml:space="preserve">1</w:t>
      </w:r>
      <w:r w:rsidR="00000000" w:rsidRPr="00000000" w:rsidDel="00000000">
        <w:rPr>
          <w:rtl w:val="0"/>
        </w:rPr>
        <w:t xml:space="preserve"> panta trešajā daļā minētās pensijas vai atlīdzības, vai šā likuma 29. panta otrās daļas 1. punktā minētajiem pabalstiem, pārējo daļu līdzfinansējot pašvaldībai, sedz: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pensijas vecuma persona, kurai ir piešķirts trūcīgas vai maznodrošinātas mājsaimniecības statuss;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pensijas vecuma persona, kurai nav piešķirts trūcīgas vai maznodrošinātas mājsaimniecības statuss, vai viņas apgādnieki no saviem līdzekļiem, ja mērķa grupas persona nespēj samaksāt par 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līdz 2023. gada 30. jūnijam – 17 līgumu noslēgšana ar pašvaldībām par projektu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līdz 2026. gada 30. jūnijam – jaunu vietu nodrošināšana 852 senioriem tādu ilgtermiņa aprūpes pakalpojumu saņemšanai, kas pietuvināti ģimeniskai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Šo noteikumu 7. punktā minēto mērķrādītāju sasniegšanu apliecina šāds Kohēzijas politikas fondu vadības informācijas sistēmas Atveseļošanas fonda modulī (turpmāk – vadības informācijas sistēma) iesniegts dokumentu un informācijas kopums: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šo noteikumu 7.1. apakšpunktā noteiktā mērķrādītāja sasniegšanai – Centrālās finanšu un līgumu aģentūras (turpmāk – aģentūra) informācija par noslēgtajiem: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šo noteikumu 7.1. apakšpunktā minētajiem līgumiem, kas paredz jaunu ģimeniskai videi pietuvinātu ilgstošas aprūpes pakalpojumu sniegšanas vietu izveidošanu, un to kopijas;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šo noteikumu 18.1. apakšpunktā noteiktajiem pilnvarojuma līgumiem un to kopijas;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 šo noteikumu 18.2. apakšpunktā noteiktajiem nodomu protokoliem un to kopijas;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šo noteikumu 7.2. apakšpunktā noteiktā mērķrādītāja sasniegšanai: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8.2.1. finansējuma saņēmēja iesniegta būvniecības jomu regulējošajos normatīvajos aktos paredzētā apliecinājuma par būvdarbu pabeigšanu un ēku nodošanu ekspluatācijā kopija;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8.2.2. finansējuma saņēmēja sagatavots pārskats par izveidotajām pakalpojumu sniegšanas vietām, kurā ietverta šāda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8.2.2.1. ēku skaits, to atrašanās vieta, platība kvadrātmetros (m</w:t>
      </w:r>
      <w:r w:rsidR="00000000" w:rsidRPr="00000000" w:rsidDel="00000000">
        <w:rPr>
          <w:vertAlign w:val="superscript"/>
          <w:rtl w:val="0"/>
        </w:rPr>
        <w:t xml:space="preserve">2</w:t>
      </w:r>
      <w:r w:rsidR="00000000" w:rsidRPr="00000000" w:rsidDel="00000000">
        <w:rPr>
          <w:rtl w:val="0"/>
        </w:rPr>
        <w:t xml:space="preserve">), šo noteikumu 4. punktā minēto mērķa grupas personu izmitināšanai paredzēto vietu skaits ar finansējuma saņēmēja apstiprinājumu, ka šīs personas būs investīcijas galasaņēmēji, un pieejamais aprīkojums;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8.2.2.2. investīciju apmērs, kas nodrošina pāreju no institucionālās aprūpes uz vietējās kopienas nodrošinātu aprūpi pensijas vecuma personām;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8.2.2.3. ka pabeigtie projekti atbilst Būvju vispārīgo prasību būvnormatīvā LBN 200-21 noteiktajām minimālajām vides pieejamības prasībām un ministrijas izstrādātajiem labās prakses ieteikumiem vides piekļūstamības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Investīcijas otrās kārtas Atveseļošanas fonda finansējums ir 68 753 017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Investīcijas otrās kārtas kopējo finansējumu veido šo noteikumu 10. punktā minētais Atveseļošanas fonda finansējums un cits finansējums: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pašvaldības un privātais finansējums pievienotās vērtības nodokļa izmaksu segšanai;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pašvaldības un privātais finansējums investīcijas otrās kārtas projektu atbalstāmo darbību īstenošanai, ja investīcijas otrās kārtas projektu īstenošanai nepieciešamie ieguldījumi pārsniedz tiem pieejamo Atveseļošanas fonda finansējumu, bet tie ir tieši saistīti ar šo noteikumu 7.2. apakšpunktā minētā mērķrādītāja sasniegšanu un atbilst šo noteikumu 31. punktā minētajām atbalstāmajām darbībām un šo noteikumu 32. punktā minētajām attiecināmo izmaksu pozīcijām."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Investīcijas otrās kārtas ietvaros projekta iesniedzējs, kas pēc projekta iesnieguma apstiprināšanas un līguma noslēgšanas ir finansējuma saņēmējs (turpmāk – finansējuma saņēmējs),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pašvaldība, pašvaldības iestāde, pašvaldības kapitālsabiedrība vai pašvaldības kontrolēta kapitālsabiedrība, kas nodrošina nekustamo īpašumu pārvaldīšanu un apsaimniekošanu vai sociālo pakalpojumu sniegšanu (turpmāk – pašvaldības kapitālsabiedrība);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sociālo pakalpojumu sniedzējs – komersants, biedrība vai nodibinājums."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Ja šo noteikumu 14. punktā minētais finansējuma saņēmējs investīcijas otrās kārtas projekta ietvaros plāno sniegt ģimeniskai videi pietuvinātu pakalpojumu šo noteikumu 4.2. apakšpunktā minētajām personām, tas ģimeniskai videi pietuvinātu pakalpojumu sniedz kā vispārējas tautsaimnieciskas nozīmes pakalpojumu atbilstoši Eiropas Komisijas 2011. gada 20. decembra lēmumam Nr. 2012/21/ES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Maksimālais ēku skaits, ko projekta iesniedzējs var paredzēt vienā investīcijas otrās kārtas projekta iesniegumā, lai veidotu ģimeniskai videi pietuvinātu pakalpojumu un saņemtu Atveseļošanas fonda finansējumu, ir trīs ēkas. Ja projekta iesniedzējs ir Rīgas valstspilsēta, tās iestādes vai pašvaldības kapitālsabiedrība, investīcijas otrās kārtas projekta iesniegumā paredzamais maksimālais ēku skaits ir sešas ēkas. Projekta iesniedzējs katrā projektu iesniegumu atlasē var iesniegt vienu projekta iesniegumu par ēku izveidi vienā administratīvajā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Aģentūra veic atklātu projektu iesniegumu atlasi saskaņā ar aģentūras apstiprinātu un ministrijas saskaņotu investīcijas otrās kārtas projektu iesniegumu atlases nolikumu. Ja projektu iesniegumu atlasē neapstiprina projektu iesniegumus par visu investīcijas otrajai kārtai pieejamo Atveseļošanas fonda finansējumu, rīko atkārtotu projektu iesniegumu atlasi par atlikušo investīcijas otrajai kārtai pieejamo Atveseļošanas fonda finansējumu.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Projekta iesnieguma sagatavošanai un iesniegšanai vadības informācijas sistēmā paredz ne mazāk kā 30 darbdienas no projektu iesniegumu atlases izsludināšanas dienas oficiālajā izdevumā "Latvijas Vēstnesis" un tīmekļvietnē www.cfla.gov.lv. Projekta iesniedzējs sagatavo un iesniedz projekta iesniegumu vadības informācijas sistēmā, tam pievienojot: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šo noteikumu 48.</w:t>
      </w:r>
      <w:r w:rsidR="00000000" w:rsidRPr="00000000" w:rsidDel="00000000">
        <w:rPr>
          <w:vertAlign w:val="superscript"/>
          <w:rtl w:val="0"/>
        </w:rPr>
        <w:t xml:space="preserve">1</w:t>
      </w:r>
      <w:r w:rsidR="00000000" w:rsidRPr="00000000" w:rsidDel="00000000">
        <w:rPr>
          <w:rtl w:val="0"/>
        </w:rPr>
        <w:t xml:space="preserve">1. apakšpunktā minēto pārvaldes lēmumu vai pilnvarojuma līgumu, ja finansējuma saņēmējs ģimeniskai videi pietuvinātu pakalpojumu paredz sniegt šo noteikumu 4.2. apakšpunktā minētajām personām;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šo noteikumu 14.2. apakšpunktā minētā finansējuma saņēmēja ar pašvaldību noslēgto nodomu protokolu par sadarbību ģimeniskai videi pietuvināta pakalpojuma sniegšanā investīcijas otrās kārtas projektā izveidotajā infrastruktūrā, ja finansējuma saņēmējs ģimeniskai videi pietuvinātu pakalpojumu paredz sniegt šo noteikumu 4.1. apakšpunktā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Investīcijas otrās kārtas projektu iesniegumu vērtēšanai aģentūra izveido projektu iesniegumu vērtēšanas komisiju, kuras sastāvā ir aģentūras pārstāvji un vismaz divi ministrijas pārstāvji. Projektu iesniegumu vērtēšanas komisijas balsstiesīgie locekļi paraksta apliecinājumu par interešu konflikta neesību saskaņā ar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61. punktu, kā arī apņemas ievērot konfidencialitāti."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Pēc tam kad izvērtēta investīcijas otrās kārtas projektu iesniegumu atbilstība šo noteikumu 1. pielikumā minētajiem kvalitātes kritērijiem, projektu iesniegumus, kas saņēmuši minimāli nepieciešamo punktu skaitu šo noteikumu 1. pielikumā minēto 3.4., 3.5. un 3.7. kvalitātes kritēriju vērtējumā, sarindo dilstošā secībā atbilstoši iegūtajam punktu skaitam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ja vairāki projektu iesniegumi ieguvuši vienādu punktu skaitu, priekšroku dod tam projekta iesniegumam, kas ieguvis vairāk punktu par šo noteikumu 1. pielikumā minēto: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22.1.1. 3.10. kvalitātes kritēriju;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22.1.2. 3.9. kvalitātes kritēriju;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22.1.3. 3.8. kvalitātes kritēriju;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22.1.4. 3.4. kvalitātes kritēriju;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22.1.5. 3.5. kvalitātes kritēriju;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22.1.6. 3.6. kvalitātes kritēriju;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ja ir vienāds šo noteikumu 1. pielikuma 3.10. kvalitātes kritērija vērtējums, ņem vērā šo noteikumu 1. pielikuma 3.9. kvalitātes kritērija vērtējumu. Ja ir vienāds šo noteikumu 1. pielikuma 3.9. kvalitātes kritērija vērtējums, ņem vērā šo noteikumu 1. pielikuma 3.8. kvalitātes kritērija vērtējumu. Ja ir vienāds šo noteikumu 1. pielikuma 3.8. kvalitātes kritērija vērtējums, ņem vērā šo noteikumu 1. pielikuma 3.4. kvalitātes kritērija vērtējumu. Ja ir vienāds šo noteikumu 1. pielikuma 3.4. kvalitātes kritērija vērtējums, ņem vērā šo noteikumu 1. pielikuma 3.5. kvalitātes kritērija vērtējumu. Ja ir vienāds šo noteikumu 1. pielikuma 3.5. kvalitātes kritērija vērtējums, ņem vērā šo noteikumu 1. pielikuma 3.6. kvalitātes kritērija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Investīcijas otrās kārtas projekta iesniedzējs – pašvaldības kapitālsabiedrība un sociālo pakalpojumu sniedzējs (komersants, biedrība vai nodibinājums) – lēmumu par tā projekta iesniegumu var apstrīdēt Finanšu ministrijā un pārsūdzēt Administratīvā procesa likumā noteiktajā kārtībā. Projekta iesniedzējs – pašvaldība vai pašvaldības iestāde – var apstrīdēt aģentūras pieņemto lēmumu viena mēneša laikā no tā spēkā stāšanās dienas Finanšu ministrijā. Finanšu ministrijas pieņemtais lēmums nav pārsūdzams."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Investīcijas otrās kārtas ietvaros ir īstenojama jaunu ēku būvniecība ģimeniskai videi pietuvināta pakalpojuma sniegšanai pensijas vecuma personām ilgstošas sociālās aprūpes un sociālās rehabilitācijas institūcijā, atbalstot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projekta īstenošanu pamatojošās dokumentācijas (piesaistes būvprojekta un citas tehniskās dokumentācijas) izstrāde (izņemot projekta iesnieguma veidlapas aizpildīšanu un iesniegšanu vadības informācijas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būvniecība un teritorijas labiekārtošana, būvekspertīze, būvuzraudzība, autoruzraudzība;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vizuālās identitātes prasību nodrošināšana, ja tas nav paredzēts būvniecības līgumā;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materiāli tehniskā nodrošinājuma iegāde, tai skaitā digitālo risinājumu ieviešana;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31.5. vides pieejamības konsultācijas;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31.6. projekta vadība."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Izmaksas šo noteikumu 31.6. apakšpunktā minētās atbalstāmās darbības īstenošanai finansējuma saņēmējs plāno kā vienu izmaksu pozīciju trīs procentu apmērā no projektam pieejamā Atveseļošanas fonda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kas radušās šo noteikumu 31. punktā minēto atbalstāmo darbību īstenošanai, pārsniedz līgumā noteikto Atveseļošanas fonda finansējuma un pievienotās vērtības nodokļa izmaksu apmēru un ir nepieciešamas šo noteikumu 7.2. apakšpunktā noteiktā mērķrādītāja sasniegšanai, bet šādas izmaksas ir iekļaujamas investīcijas otrās kārtas projektā kā attiecināmais pašvaldības finansējums vai privātais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Pēc šo noteikumu 30. punktā minētā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avansa maksājumu pieprasa un veic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38.1.1. finansējuma saņēmējs sagatavo avansa maksājuma pieprasījumu, kurā pamato avansa maksājuma nepieciešamību un apmēru. Avansa maksājumu var veikt vairākos maksājumos, nākamo avansa daļu izmaksājot pēc tam, kad iepriekšējā ir apgūta pilnā apmērā. Avansa maksājuma apmērs nevar pārsniegt 50 procentus no projektam pieejamā Atveseļošanas fonda finansējuma apmēra, un tas šo noteikumu 14.1. apakšpunktā minētajam finansējuma saņēmējam ir jāizmanto sešu mēnešu laikā no tā saņemšanas dienas saimnieciskā gada ietvaros, bet šo noteikumu 14.2. apakšpunktā minētajam finansējuma saņēmējam – sešu mēnešu laikā no tā saņemšanas dienas. Avansa izmantošanas termiņu var pagarināt, iesniedzot aģentūrai pamatojumu termiņa pagarināšanai;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38.1.2. aģentūra pārbauda šo noteikumu 38.1.1. apakšpunktā minēto avansa maksājuma pieprasījumu un, ja aģentūrai nav iebildumu par avansa maksājuma pamatojumu, veic avansa maksājumu;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starpposma maksājumu pieprasa un veic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38.2.1. finansējuma saņēmējs sagatavo starpposma maksājuma pieprasījumu, kurā pamato investīcijas otrās kārtas projektā faktiski veiktās izmaksas un starpposma maksājuma apmēru. Pieprasījumu starpposma maksājumam finansējuma saņēmējs var iesniegt arī laikposmā, kad finansējuma saņēmējs izmanto šo noteikumu 38.1.1. apakšpunktā minēto avansa maksājumu;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38.2.2. aģentūra pārbauda šo noteikumu 38.2.1. apakšpunktā minēto starpposma maksājuma pieprasījumu un, ja aģentūrai nav iebildumu par starpposma maksājuma pamatojumu, veic starpposma maksājumu;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38.3. noslēguma maksājumu pieprasa un veic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38.3.1. finansējuma saņēmējs sagatavo noslēguma maksājuma pieprasījumu, kurā pamato investīcijas otrās kārtas projektā faktiski veiktās izmaksas, to apmēru un šo noteikumu 7.2. apakšpunktā minētā mērķrādītāja sasniegšanu, tai skaitā ietverot šo noteikumu 8.2. apakšpunktā minēto dokumentu un informācijas kopumu;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38.3.2. aģentūra pārbauda šo noteikumu 38.3.1. apakšpunktā minēto noslēguma maksājuma pieprasījumu un, ja aģentūrai nav iebildumu par noslēguma maksājuma pamatojumu, veic noslēguma maksājumu;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38.4. aģentūra, veicot avansa un starpposma maksājumus finansējuma saņēmējam, nodrošina, ka avansa un starpposma maksājumos norādītā Atveseļošanas fonda finansējuma kopsumma nepārsniedz 90 procentus no projektam pieejamā Atveseļošanas fonda finansējuma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piesaistot šo noteikumu 31. punktā minēto atbalstāmo darbību īstenošanai nepieciešamo personālu vai īstenojot iepirkumus, nodrošina, ka projekta īstenošanas laikā tiek ievēroti interešu konflikta, korupcijas un krāpšanas novēršanas nosacījumi, vismaz paredzot, ka projekta vadībā un īstenošanā iesaistītais personāls un iepirkumu līgumu izpildītāji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41.2.1. informēti par korupcijas un interešu konflikta novēršanas jautājumiem un krāpšanas pazīmēm;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41.2.2. parakstījuši apliecinājumus par interešu konflikta neesību un par pienākumu ziņot par konstatētajiem vai iespējamajiem trūkumiem un pārkāpumiem;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41.2.3. informēti par iespēju ziņot par pārkāpumiem un par ziņotāju aizsardzību atbilstoši Trauksmes celšanas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"41.4. ja atbilstoši normatīvajiem aktiem par Atveseļošanas fonda plāna īstenošanas un uzraudzības kārtību ir konstatēti trūkumi un pārkāpumi projekta īstenošanā, atmaksā saņemto avansa, starpposma vai noslēguma 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"41.5. iepirkumus veic atbilstoši normatīvajiem aktiem publisko iepirkumu jomā, īstenojot atklātas, pārredzamas, nediskriminējošas un konkurenci nodrošinošas iepirkuma procedūras, tai skaitā ievērojot normatīvajā aktā par publisko būvdarbu līgumos obligāti ietveramajiem noteikumiem un to saturu noteiktās prasības. Ja nepieciešams, šo noteikumu 14.1. apakšpunktā minētie finansējuma saņēmēji var savstarpēji vienoties par centralizēta publiskā iepirkuma organizēšanu;".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41.5.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"41.5.</w:t>
      </w:r>
      <w:r w:rsidR="00000000" w:rsidRPr="00000000" w:rsidDel="00000000">
        <w:rPr>
          <w:vertAlign w:val="superscript"/>
          <w:rtl w:val="0"/>
        </w:rPr>
        <w:t xml:space="preserve">1</w:t>
      </w:r>
      <w:r w:rsidR="00000000" w:rsidRPr="00000000" w:rsidDel="00000000">
        <w:rPr>
          <w:rtl w:val="0"/>
        </w:rPr>
        <w:t xml:space="preserve"> šo noteikumu 14.2. apakšpunktā minētais finansējuma saņēmējs ievēro Ministru kabineta 2017. gada 28. februāra noteikumos Nr. 104 "Noteikumi par iepirkuma procedūru un tās piemērošanas kārtību pasūtītāja finansētiem projektiem" (turpmāk – MK noteikumi Nr. 104) noteikto līguma slēgšanas tiesību piešķiršanas procedūru (ja attiecināms) un ierobežojumus šādu līgumu slēgšanai, tai skaitā aizpilda un apstiprina MK noteikumu Nr. 104 1. pielikumā noteikto apliecinājumu par interešu konflikta neesību un pievieno to iepirkumu līgumu slēgšanas dokumentācijai;".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"41.6. ja vien ir iespējams, organizējot iepirkuma procedūru, ievēro zaļā iepirkuma un sociāli atbildīgā iepirkuma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"41.12. nodrošina, ka projekta ietvaros izveidotās ēkas vismaz piecus gadus pēc noslēguma maksājuma saņemšanas tiks izmantotas, lai sniegtu pakalpojumu šo noteikumu 4. punktā minētajām mērķa grupas personām, kurām ilgstošas sociālās aprūpes un sociālās rehabilitācijas institūcijas pakalpojums ir piešķirts ar sociālā dienesta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"41.13. šo noteikumu 14.1. apakšpunktā minētais finansējuma saņēmējs var nodot projekta ietvaros izveidotās ēkas šo noteikumu 41.12. apakšpunktā minētajā laikposmā un ieguldījumu amortizācijas periodā bezatlīdzības lietošanā sociālo pakalpojumu sniedzējam, ar kuru pašvaldība ir noslēgusi deleģēšanas līgumu vai iepirkumu līgumu par ģimeniskai videi pietuvināta pakalpojuma sniegšanu mērķa grupas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41.14.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"41.14. nodrošina informācijas un publicitātes pasākumus saskaņā ar Eiropas Parlamenta un Padomes 2021. gada 12. februāra Regulas (ES) Nr. 2021/241, ar ko izveido Atveseļošanas un noturības mehānismu, 34. panta 2. punktu un 2021. gada 3. septembrī parakstītā Komisijas un Latvijas Republikas Atveseļošanas un noturības mehānisma finansēšanas nolīguma 10.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41.15.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"41.15. pēc ģimeniskai videi pietuvinātu pakalpojumu infrastruktūras izveidošanas nodrošina pakalpojuma reģistrēšanu Sociālo pakalpojumu sniedzēju reģistrā atbilstoši normatīvajiem aktiem par sociālo pakalpojumu sniedzēju reģistrēšanu, bet ne vēlāk kā līdz 2027.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41.16.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"41.16. nekavējoties informē aģentūru, ja šo noteikumu 41.12. apakšpunktā minētajā laikposmā un ieguldījumu amortizācijas periodā ir paredzēts mainīt infrastruktūras izmantošanas nosacījumus tā, ka projekta darbības būs saistītas saistīts ar saimniecisko darbību, un tādējādi sniegtais atbalsts būs kvalificējams kā komercdarbības atbalsts. Ja šo noteikumu 41.12. apakšpunktā minētajā laikposmā un ieguldījumu amortizācijas periodā ģimeniskai videi pietuvinātu pakalpojumu infrastruktūra kļūst par tādu, kas ir saistīta ar saimniecisko darbību, kurai sniegtais atbalsts būtu kvalificējams kā komercdarbības atbalsts, vai ja tiek pārkāptas šajos noteikumos noteiktās komercdarbības atbalsta piešķiršanas prasības vispārējas tautsaimnieciskas nozīmes pakalpojuma sniegšanai, finansējuma saņēmējs no līdzekļiem, kas ir brīvi no komercdarbības atbalsta, atmaksā aģentūrai saņemto nelikumīgo atbalstu saskaņā ar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41.17.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"41.17. ja šo noteikumu 41.12. apakšpunktā minētajā laikposmā un ieguldījumu amortizācijas periodā tiek veikta šo noteikumu 41.</w:t>
      </w:r>
      <w:r w:rsidR="00000000" w:rsidRPr="00000000" w:rsidDel="00000000">
        <w:rPr>
          <w:vertAlign w:val="superscript"/>
          <w:rtl w:val="0"/>
        </w:rPr>
        <w:t xml:space="preserve">2</w:t>
      </w:r>
      <w:r w:rsidR="00000000" w:rsidRPr="00000000" w:rsidDel="00000000">
        <w:rPr>
          <w:rtl w:val="0"/>
        </w:rPr>
        <w:t xml:space="preserve"> punktā minētā papildinošā saimnieciskā darbība, finansējuma saņēmējs šo noteikumu 30. punktā minētajā līgumā noteiktajā kārtībā sagatavo un iesniedz aģentūrai pārskatu par papildinošās saimnieciskās darbības apjomu no infrastruktūras kopējās gada jaudas (platības vai finanšu izteiksmē) un nodrošina aprēķinus pamatojošo dokumentu pieejamību papildinošās saimnieciskās darbības uzraudzībai. Ja ir pārsniegts šo noteikumu 41.</w:t>
      </w:r>
      <w:r w:rsidR="00000000" w:rsidRPr="00000000" w:rsidDel="00000000">
        <w:rPr>
          <w:vertAlign w:val="superscript"/>
          <w:rtl w:val="0"/>
        </w:rPr>
        <w:t xml:space="preserve">2</w:t>
      </w:r>
      <w:r w:rsidR="00000000" w:rsidRPr="00000000" w:rsidDel="00000000">
        <w:rPr>
          <w:rtl w:val="0"/>
        </w:rPr>
        <w:t xml:space="preserve"> punktā minētais papildinošās saimnieciskās darbības ierobežojums, finansējuma saņēmējs šo noteikumu 30. punktā minētajā līgumā noteiktajā kārtībā iesniedz ziņojumu aģentūrai par konstatēto pārkāpumu un saskaņā ar Komercdarbības atbalsta kontroles likuma IV vai V nodaļas nosacījumiem atmaksā aģentūrai saņemto nelikumīgo atbalstu par attiecīgo gadu, kurā konstatēts pārkāpums, no līdzekļiem, kas ir brīvi no komercdarbības atbalsta."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Šo noteikumu 41.12. apakšpunktā minētajā laikposmā un ieguldījumu amortizācijas periodā finansējuma saņēmējs nodrošina atsevišķu grāmatvedības uzskaiti un izsekojamību, nodalot šo noteikumu 4.1. un 4.2. apakšpunktā minētajām personām sniegto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Šo noteikumu 41.12. apakšpunktā minētajā laikposmā un ieguldījumu amortizācijas periodā finansējuma saņēmējs vienlaikus ar ģimeniskai videi pietuvinātu pakalpojumu sniegšanu šo noteikumu 4.1. apakšpunktā minētajām mērķa grupas personām var: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 veikt papildinošo saimniecisko darbību, t. i., veikt darbības, kas ir tieši saistītas ar ēkas ekspluatāciju un tai nepieciešamas vai nesaraujami saistītas ar tās galveno ar saimniecisko darbību nesaistīto izmantojumu, patērējot tādu pašu resursu, piemēram, materiālus, aprīkojumu, darbaspēku, kā ar saimniecisko darbību nesaistītajām darbībām, kopumā nepārsniedzot 20 procentus no infrastruktūras kopējās gada jaudas (platības vai finanšu izteiksmē);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 papildinošas saimnieciskas darbības ietvaros sniegt ģimeniskai videi pietuvinātu pakalpojumu pensijas vecuma personām, kuras ilgstošas sociālās aprūpes un sociālās rehabilitācijas institūcijas pakalpojumu saņem ar sociālā dienesta lēmumu par šā pakalpojuma piešķiršanu vai bez šāda lēmuma un kuras pašas vai viņu apgādnieki pilnā apmērā sedz pakalpojuma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44.4.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"44.4. šo noteikumu 41.12. apakšpunktā minētajā laikposmā un ieguldījumu amortizācijas periodā uzrauga, vai finansējuma saņēmēja īstenotā papildinošā saimnieciskā darbība nepārsniedz 20 procentus no infrastruktūras kopējās gada jaudas (platības vai finanšu izteiksmē)."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IV</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 Ar komercdarbības atbalsta saņemšanu saistītie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Vispārējas tautsaimnieciskas nozīmes pakalpojuma piešķiršanā un uzraudzībā ievēro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 ja ģimeniskai videi pietuvinātu pakalpojumu sniedz pašvaldība vai tās iestāde, pašvaldība pieņem pārvaldes lēmumu, kurā pilnvaro finansējuma saņēmēju sniegt šo noteikumu 14.</w:t>
      </w:r>
      <w:r w:rsidR="00000000" w:rsidRPr="00000000" w:rsidDel="00000000">
        <w:rPr>
          <w:vertAlign w:val="superscript"/>
          <w:rtl w:val="0"/>
        </w:rPr>
        <w:t xml:space="preserve">1</w:t>
      </w:r>
      <w:r w:rsidR="00000000" w:rsidRPr="00000000" w:rsidDel="00000000">
        <w:rPr>
          <w:rtl w:val="0"/>
        </w:rPr>
        <w:t xml:space="preserve"> punktā minēto vispārējas tautsaimnieciskas nozīmes pakalpojumu. Ja ģimeniskai videi pietuvinātu pakalpojumu sniedz pašvaldības kapitālsabiedrība vai šo noteikumu 14.2. apakšpunktā minētais finansējuma saņēmējs, tas noslēdz ar pašvaldību pilnvarojuma līgumu, ar kuru tam uztic sniegt šo noteikumu 14.</w:t>
      </w:r>
      <w:r w:rsidR="00000000" w:rsidRPr="00000000" w:rsidDel="00000000">
        <w:rPr>
          <w:vertAlign w:val="superscript"/>
          <w:rtl w:val="0"/>
        </w:rPr>
        <w:t xml:space="preserve">1</w:t>
      </w:r>
      <w:r w:rsidR="00000000" w:rsidRPr="00000000" w:rsidDel="00000000">
        <w:rPr>
          <w:rtl w:val="0"/>
        </w:rPr>
        <w:t xml:space="preserve"> punktā minēto vispārējas tautsaimnieciskas nozīmes pakalpojumu. Pārvaldes lēmuma vai pilnvarojuma līguma īstenošanu investīcijas otrās kārtas ietvaros nodrošina ar aģentūras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 šo noteikumu 48.</w:t>
      </w:r>
      <w:r w:rsidR="00000000" w:rsidRPr="00000000" w:rsidDel="00000000">
        <w:rPr>
          <w:vertAlign w:val="superscript"/>
          <w:rtl w:val="0"/>
        </w:rPr>
        <w:t xml:space="preserve">1</w:t>
      </w:r>
      <w:r w:rsidR="00000000" w:rsidRPr="00000000" w:rsidDel="00000000">
        <w:rPr>
          <w:rtl w:val="0"/>
        </w:rPr>
        <w:t xml:space="preserve">1. apakšpunktā minētajā pārvaldes lēmumā vai pilnvarojuma līgumā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2.1. sniedzamo ģimeniskai videi pietuvināto pakalpojumu;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2.2. prasību ģimeniskai videi pietuvinātam pakalpojuma sniedzējam uzturēt un atjaunot nepieciešamo tehnisko aprīkojumu, lai nodrošinātu šo noteikumu 48.</w:t>
      </w:r>
      <w:r w:rsidR="00000000" w:rsidRPr="00000000" w:rsidDel="00000000">
        <w:rPr>
          <w:vertAlign w:val="superscript"/>
          <w:rtl w:val="0"/>
        </w:rPr>
        <w:t xml:space="preserve">1</w:t>
      </w:r>
      <w:r w:rsidR="00000000" w:rsidRPr="00000000" w:rsidDel="00000000">
        <w:rPr>
          <w:rtl w:val="0"/>
        </w:rPr>
        <w:t xml:space="preserve">2.1. apakšpunktā minētā pakalpojuma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2.3. ģimeniskai videi pietuvināto sociālo pakalpojumu sniegšanas laikposmu – 10 gadus;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2.4. ģimeniskai videi pietuvināto sociālo pakalpojumu sniegšanas teritoriju;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2.5. sociālo pakalpojumu sniedzējam piešķirto ekskluzīvo vai īpašo tiesību būtību;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2.6. iespējas saņemt atlīdzības jeb kompensācijas maksājumus, kā arī kompensācijas aprēķināšanas, kontroles un pārskatīšanas nosacījumus un kompensācijas pārmaksas novēršanas un atmaksāšanas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2.7. atsauci uz Eiropas Komisijas lēmumu;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3. komercdarbības atbalsta saņēmējs un pašvaldība jeb vispārējas tautsaimnieciskas nozīmes pakalpojuma pilnvarojuma uzlicējs nodrošina, ka pilnvarojuma periodā un vismaz 10 gadus pēc pilnvarojuma perioda beigām tiek saglabāta un nodrošināta pieejamība projekta izmaksu pamatojošiem dokumentiem, ar projektu saistītajai dokumentācijai un citai informācijai, kas ir nepieciešama, lai noteiktu, vai piešķirtais atbalsts ir atbilstošs komercdarbības atbalsta piešķiršanas nosacījumiem vispārējas tautsaimniecības nozīmes pakalpojumu sniegšanai;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4. šo noteikumu 14. punktā minētais finansējuma saņēmējs, kas sniedz vispārējas tautsaimniecības pakalpojumu, iesniedz aģentūrā vispārējas tautsaimnieciskas nozīmes pakalpojuma pilnvarojuma uzlicēja apliecinājumu par šo noteikumu 48.</w:t>
      </w:r>
      <w:r w:rsidR="00000000" w:rsidRPr="00000000" w:rsidDel="00000000">
        <w:rPr>
          <w:vertAlign w:val="superscript"/>
          <w:rtl w:val="0"/>
        </w:rPr>
        <w:t xml:space="preserve">1</w:t>
      </w:r>
      <w:r w:rsidR="00000000" w:rsidRPr="00000000" w:rsidDel="00000000">
        <w:rPr>
          <w:rtl w:val="0"/>
        </w:rPr>
        <w:t xml:space="preserve">2.6. apakšpunktā minēto maksājumu kontroli un pārskatīšanu, kā arī to pārmaksas novēršanu un atgūšanu ne retāk kā reizi trijos gados un šo noteikumu 48.</w:t>
      </w:r>
      <w:r w:rsidR="00000000" w:rsidRPr="00000000" w:rsidDel="00000000">
        <w:rPr>
          <w:vertAlign w:val="superscript"/>
          <w:rtl w:val="0"/>
        </w:rPr>
        <w:t xml:space="preserve">1</w:t>
      </w:r>
      <w:r w:rsidR="00000000" w:rsidRPr="00000000" w:rsidDel="00000000">
        <w:rPr>
          <w:rtl w:val="0"/>
        </w:rPr>
        <w:t xml:space="preserve">1. apakšpunktā minētā pārvaldes lēmuma vai pilnvarojuma līguma darbības perioda beigās."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 49.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Ja investīcijas otrās kārtas pirmās projektu iesniegumu atlases finansējuma saņēmējs paredz veidot ģimeniskai videi pietuvinātu infrastruktūru šo noteikumu 4.2. apakšpunktā minētajai mērķa grupai, tas līdz 2026. gada 30. jūnijam iesniedz aģentūrā šo noteikumu 48.</w:t>
      </w:r>
      <w:r w:rsidR="00000000" w:rsidRPr="00000000" w:rsidDel="00000000">
        <w:rPr>
          <w:vertAlign w:val="superscript"/>
          <w:rtl w:val="0"/>
        </w:rPr>
        <w:t xml:space="preserve">1</w:t>
      </w:r>
      <w:r w:rsidR="00000000" w:rsidRPr="00000000" w:rsidDel="00000000">
        <w:rPr>
          <w:rtl w:val="0"/>
        </w:rPr>
        <w:t xml:space="preserve">1. apakšpunktā minēto pārvaldes lēmumu vai pilnvarojuma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24-TA-516</w:t>
    </w:r>
    <w:r>
      <w:br/>
    </w:r>
    <w:r w:rsidR="00000000" w:rsidRPr="00000000" w:rsidDel="00000000">
      <w:rPr>
        <w:rtl w:val="0"/>
      </w:rPr>
      <w:t xml:space="preserve">Izdrukāts 29.07.2026. 21.30 - 1.0.VK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24-TA-516</w:t>
    </w:r>
    <w:r>
      <w:br/>
    </w:r>
    <w:r w:rsidR="00000000" w:rsidRPr="00000000" w:rsidDel="00000000">
      <w:rPr>
        <w:rtl w:val="0"/>
      </w:rPr>
      <w:t xml:space="preserve">Izdrukāts 29.07.2026. 21.30 - 1.0.VK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noteikumu_(grozījumu)_projekts_24-TA-516.docx</dc:title>
</cp:coreProperties>
</file>

<file path=docProps/custom.xml><?xml version="1.0" encoding="utf-8"?>
<Properties xmlns="http://schemas.openxmlformats.org/officeDocument/2006/custom-properties" xmlns:vt="http://schemas.openxmlformats.org/officeDocument/2006/docPropsVTypes"/>
</file>