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26.augusta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Karavīra mēnešalga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Kareivju un instruktoru sastāva mēnešalgu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gridCol w:w="9641"/>
            <w:gridCol w:w="9641"/>
            <w:gridCol w:w="9641"/>
            <w:gridCol w:w="9641"/>
            <w:gridCol w:w="9641"/>
          </w:tblGrid>
        </w:tblGridChange>
      </w:tblGrid>
      <w:tr>
        <w:tc>
          <w:tcPr>
            <w:shd w:fill="ffffff"/>
            <w:vAlign w:val="center"/>
            <w:noWrap w:val="true"/>
            <w:gridSpan w:val="1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Mēnešalgas likme pēc dienesta pakāpes, izdienas un militārās izglītības kategorijas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izdienas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(kareivis, matrozis)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(dižkareivis, dižmatrozis)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(kaprālis)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(seržants)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(virsseržants,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(štāba virsseržants, štāba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(galvenais virsseržants, galvenais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virsseržants, augstākais bocmanis)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un turpmāko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Virsnieku sastāva mēnešalgu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tblGrid>
        </w:tblGridChange>
      </w:tblGrid>
      <w:tr>
        <w:tc>
          <w:tcPr>
            <w:shd w:fill="ffffff"/>
            <w:vAlign w:val="center"/>
            <w:noWrap w:val="true"/>
            <w:gridSpan w:val="1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Mēnešalgas likme pēc dienesta pakāpes, izdienas un militārās izglītības kategorijas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izdienas gadu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(kapteinis, kapteiņleitnants)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(majors, komandleitnants)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(pulkvežleitnants, komandkapteinis)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(pulkvedis, jūras kapteinis)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(brigādes ģenerālis, flotiles admirālis)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(ģenerālmajors, kontradmirālis)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(ģenerālleitnants, viceadmirālis)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un turpmāko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Nosakot I kategorijas mēnešalgas likmi, ņem vērā karavīra dienesta pakāpi un izdienu.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Nosakot II kategorijas mēnešalgas likmi, ņem vērā karavīra dienesta pakāpi, izdienu, kā arī nosacījumu, ka viņš ir ieguvis Militārā dienesta likumā dienesta pakāpei noteikto militāro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Kvalifikācijas kategoriju un koeficientu karavīra amatam, kuru pilda uz civilu valsts iestādi (izņemot Aizsardzības ministriju), valsts drošības iestādi, starptautisku organizāciju vai šādas starptautiskas organizācijas dalībvalsts institūciju pārvietots karavīrs, nosaka Nacionālo bruņoto spēku komandieris saskaņā ar Nacionālo bruņoto spēku komandiera izveidotas amatu vērtēšanas komisijas ieteikumu. Kvalifikācijas kategoriju un koeficientu Nacionālo bruņoto spēku komandierim un karavīra amatam, kuru pilda uz Aizsardzības ministriju pārvietots karavīrs, nosaka aizsardzības ministrs saskaņā ar aizsardzības ministra izveidotas amatu vērtēšanas komisijas ieteikumu.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Ņemot vērā karavīra amatam noteikto kvalifikācijas kategoriju, karavīra mēnešalgu nosaka, šā pielikuma 1. un 2. punktā minēto mēnešalgas likmi reizinot ar kvalifikācijas kategorijai atbilstošu koeficientu: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7125"/>
        <w:gridCol w:w="7125"/>
        <w:gridCol w:w="7125"/>
        <w:tblGridChange w:id="0">
          <w:tblGrid>
            <w:gridCol w:w="2335"/>
            <w:gridCol w:w="7125"/>
            <w:gridCol w:w="7125"/>
            <w:gridCol w:w="712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Kvalifikācijas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noteikumu_konsolidētā_versija_p1_23-TA-708.docx</dc:title>
</cp:coreProperties>
</file>

<file path=docProps/custom.xml><?xml version="1.0" encoding="utf-8"?>
<Properties xmlns="http://schemas.openxmlformats.org/officeDocument/2006/custom-properties" xmlns:vt="http://schemas.openxmlformats.org/officeDocument/2006/docPropsVTypes"/>
</file>