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noteikumi Nr. 868</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2024. gada 17. decembrī (prot. Nr. 53 93.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Grozījumi Ministru kabineta 2024. gada 25. jūnija noteikumos Nr. 407 "Eiropas Savienības kohēzijas politikas programmas 2021.–2027. gadam 1.1.1. specifiskā atbalsta mērķa "Pētniecības un inovāciju kapacitātes stiprināšana un progresīvu tehnoloģiju ieviešana kopējā P&amp;A sistēmā" 1.1.1.3. pasākuma "Praktiskas ievirzes pētījumi" īstenošanas noteikumi"</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Eiropas Savienības fondu 2021.–2027. gada plānošanas perioda vadības likuma 19. panta 6. un 13. punktu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Izdarīt Ministru kabineta 2024. gada 25. jūnija noteikumos Nr. 407 "Eiropas Savienības kohēzijas politikas programmas 2021.–2027. gadam 1.1.1. specifiskā atbalsta mērķa "Pētniecības un inovāciju kapacitātes stiprināšana un progresīvu tehnoloģiju ieviešana kopējā P&amp;A sistēmā" 1.1.1.3. pasākuma "Praktiskas ievirzes pētījumi" īstenošanas noteikumi" (Latvijas Vēstnesis, 2024, 123. nr.) šādus grozījumus: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Izteikt 5.2.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"5.2. biomedicīna, medicīnas tehnoloģijas, farmācija;".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Izteikt 5.3.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"5.3. fotonika un viedie materiāli, tehnoloģijas un inženiersistēmas;".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Izteikt 5.4.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"5.4. viedā enerģētika un mobilitāte;".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Izteikt 8.6.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"8.6. tehniski ekonomiskā priekšizpēte (P&amp;A izdevumu apjoms)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Izteikt 8.7.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"8.7. kopējie P&amp;A izdevumi:</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8.7.1. iekšējie izdevumi P&amp;A darbiem:</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8.7.1.1. kārtējie izdevumi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8.7.1.1.1. darbaspēka izmaksas (P&amp;A izdevumu apjoms)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8.7.1.1.2. citi kārtējie izdevumi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8.7.1.2. kapitālizdevumi – ēkas, iekārtas, intelektuālā īpašuma tiesības, datoru programmatūra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8.7.2. ārējie izdevumi P&amp;A darbiem, kas pasūtīti citās iestādēs, uzņēmumos, organizācijās;".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Izteikt 8.8.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"8.8. publikācijas WoS un SCOPUS (skaits);".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Izteikt 8.9.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"8.9. publikācijas WoS un SCOPUS sadarbībā ar industriju (skaits);".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Izteikt 8.11.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"8.11. jaunradītās tehnoloģijas (skaits);".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Izteikt 8.12.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"8.12. kopējais P&amp;A personāls (pilna laika ekvivalents):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8.12.1. iekšējais P&amp;A personāls: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8.12.1.1. pētnieki (zinātnieki un citi profesionāļi):</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8.12.1.1.1. jaunie zinātnieki;</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8.12.1.1.2. doktora grāda ieguvēji;</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8.12.1.1.3. doktoranti un doktora grāda pretendenti;</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8.12.1.1.4. maģistra grāda, bakalaura grāda, pirmā vai otrā līmeņa augstākās vai profesionālās izglītības ieguvēji;</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8.12.1.1.5. ar cita līmeņa izglītību, kas zemāka par šo noteikumu 8.12.1.1.4. apakšpunktā minēto izglītību;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8.12.1.2. P&amp;A tehniskais personāls, tai skaitā P&amp;A atbalsta personāls: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8.12.1.2.1. jaunie zinātnieki;</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8.12.1.2.2. doktora grāda ieguvēji;</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8.12.1.2.3. doktoranti un doktora grāda pretendenti;</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8.12.1.2.4. maģistra grāda, bakalaura grāda, pirmā vai otrā līmeņa augstākās vai profesionālās izglītības ieguvēji;</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8.12.1.2.5. ar cita līmeņa izglītību, kas zemāka par šo noteikumu 8.12.1.2.4. apakšpunktā minēto izglītību;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8.12.1.2.6. P&amp;A atbalsta personāls;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8.12.2. ārējais P&amp;A personāls: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8.12.2.1. pētnieki (zinātnieki un citi profesionāļi);</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8.12.2.2. P&amp;A tehniskais un atbalsta personāls;".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Izteikt 8.13.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"8.13. kopējais P&amp;A personāls (skaits):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8.13.1. iekšējais P&amp;A personāls: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8.13.1.1. pētnieki (zinātnieki un citi profesionāļi):</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8.13.1.1.1. jaunie zinātnieki;</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8.13.1.1.2. doktora grāda ieguvēji;</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8.13.1.1.3. doktoranti un doktora grāda pretendenti;</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8.13.1.1.4. maģistra grāda, bakalaura grāda, pirmā vai otrā līmeņa augstākās vai profesionālās izglītības ieguvēji;</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8.13.1.1.5. ar cita līmeņa izglītību, kas zemāka par šo noteikumu 8.13.1.1.4. apakšpunktā minēto izglītību;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8.13.1.2. P&amp;A tehniskais personāls, tai skaitā P&amp;A atbalsta personāls: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8.13.1.2.1. jaunie zinātnieki;</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8.13.1.2.2. doktora grāda ieguvēji;</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8.13.1.2.3. doktoranti un doktora grāda pretendenti;</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8.13.1.2.4. maģistra grāda, bakalaura grāda, pirmā vai otrā līmeņa augstākās vai profesionālās izglītības ieguvēji;</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8.13.1.2.5. ar cita līmeņa izglītību, kas zemāka par šo noteikumu 8.13.1.2.4. apakšpunktā minēto izglītību;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8.13.1.2.6. P&amp;A atbalsta personāls;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8.13.2. ārējais P&amp;A personāls: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8.13.2.1. pētnieki (zinātnieki un citi profesionāļi);</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8.13.2.2. P&amp;A tehniskais un P&amp;A atbalsta personāls;".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Izteikt 8.14.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"8.14. atbalstīto komersantu skaits (skaits);".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Izteikt 8.15.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"8.15. radītie rūpnieciskā īpašuma objekti:</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8.15.1. patents un patentu pieteikumi (skaits);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8.15.2. licences līgumi (skaits);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8.15.3. augu šķirne (skaits);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8.15.4. reģistrēts dizainparaugs (skaits);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8.15.5. pusvadītāja izstrādājums vai tā pieteikums (skaits);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8.15.6. preču zīme (ieskaitot kolektīvās zīmes) un sertifikācijas zīme (skaits)."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Izteikt 13.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"13. Pasākuma ietvaros plānotais kopējais finansējums ir 56 760 000 </w:t>
      </w:r>
      <w:r w:rsidR="00000000" w:rsidRPr="00000000" w:rsidDel="00000000">
        <w:rPr>
          <w:i w:val="1"/>
          <w:rtl w:val="0"/>
        </w:rPr>
        <w:t xml:space="preserve">euro </w:t>
      </w:r>
      <w:r w:rsidR="00000000" w:rsidRPr="00000000" w:rsidDel="00000000">
        <w:rPr>
          <w:rtl w:val="0"/>
        </w:rPr>
        <w:t xml:space="preserve">(no tā elastības finansējums – 6 586 609 </w:t>
      </w:r>
      <w:r w:rsidR="00000000" w:rsidRPr="00000000" w:rsidDel="00000000">
        <w:rPr>
          <w:i w:val="1"/>
          <w:rtl w:val="0"/>
        </w:rPr>
        <w:t xml:space="preserve">euro</w:t>
      </w:r>
      <w:r w:rsidR="00000000" w:rsidRPr="00000000" w:rsidDel="00000000">
        <w:rPr>
          <w:rtl w:val="0"/>
        </w:rPr>
        <w:t xml:space="preserve">), tai skaitā Eiropas Reģionālās attīstības fonda finansējums – 48 246 000 </w:t>
      </w:r>
      <w:r w:rsidR="00000000" w:rsidRPr="00000000" w:rsidDel="00000000">
        <w:rPr>
          <w:i w:val="1"/>
          <w:rtl w:val="0"/>
        </w:rPr>
        <w:t xml:space="preserve">euro </w:t>
      </w:r>
      <w:r w:rsidR="00000000" w:rsidRPr="00000000" w:rsidDel="00000000">
        <w:rPr>
          <w:rtl w:val="0"/>
        </w:rPr>
        <w:t xml:space="preserve">(no tā elastības finansējums – 5 598 618 </w:t>
      </w:r>
      <w:r w:rsidR="00000000" w:rsidRPr="00000000" w:rsidDel="00000000">
        <w:rPr>
          <w:i w:val="1"/>
          <w:rtl w:val="0"/>
        </w:rPr>
        <w:t xml:space="preserve">euro</w:t>
      </w:r>
      <w:r w:rsidR="00000000" w:rsidRPr="00000000" w:rsidDel="00000000">
        <w:rPr>
          <w:rtl w:val="0"/>
        </w:rPr>
        <w:t xml:space="preserve">) un valsts budžeta līdzfinansējums – 8 514 000 </w:t>
      </w:r>
      <w:r w:rsidR="00000000" w:rsidRPr="00000000" w:rsidDel="00000000">
        <w:rPr>
          <w:i w:val="1"/>
          <w:rtl w:val="0"/>
        </w:rPr>
        <w:t xml:space="preserve">euro </w:t>
      </w:r>
      <w:r w:rsidR="00000000" w:rsidRPr="00000000" w:rsidDel="00000000">
        <w:rPr>
          <w:rtl w:val="0"/>
        </w:rPr>
        <w:t xml:space="preserve">(no tā elastības finansējums – 987 991 </w:t>
      </w:r>
      <w:r w:rsidR="00000000" w:rsidRPr="00000000" w:rsidDel="00000000">
        <w:rPr>
          <w:i w:val="1"/>
          <w:rtl w:val="0"/>
        </w:rPr>
        <w:t xml:space="preserve">euro</w:t>
      </w:r>
      <w:r w:rsidR="00000000" w:rsidRPr="00000000" w:rsidDel="00000000">
        <w:rPr>
          <w:rtl w:val="0"/>
        </w:rPr>
        <w:t xml:space="preserve">). Maksimālais attiecināmais Eiropas Reģionālās attīstības fonda finansējuma apmērs nepārsniedz 85 procentus no pasākumam plānotā kopējā publiskā attiecināmā finansējuma."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Izteikt 31.1.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"31.1. ja tas ir ar saimniecisku darbību saistīts projekts, tas nav grūtībās nonācis saimnieciskās darbības veicējs atbilstoši Komisijas regulas Nr.  651/2014 2. panta 18. punktā noteiktajai definīcijai. Projekta iesniedzējam jāapliecina atbilstība Komisijas regulas Nr. 651/2014 2. panta 18. punkta "c" apakšpunktam. Grūtībās nonākuša uzņēmuma pazīmes vērtē individuāli projekta iesniedzējam un tā saistīto personu grupai (ja attiecināms);".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Izteikt 31.5.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"31.5. ja tas ir ar saimniecisku darbību saistīts projekts, uz to neattiecas līdzekļu atgūšanas rīkojums, kas minēts Komisijas regulas Nr. 651/2014 1. panta 4. punkta "a" apakšpunktā, šo nosacījumu vērtējot uzņēmuma grupas līmenī;".</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Izteikt 31.8.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"31.8. projekta īstenošanas laikā nodrošina interešu konflikta neesību saskaņā ar Eiropas Parlamenta un Padomes 2024. gada 23. septembra Regulas (ES, Euratom) Nr. 2024/2509 par finanšu noteikumiem, ko piemēro Savienības vispārējam budžetam (pārstrādāta redakcija), 61. punkta prasībām."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Izteikt 33.2.2.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"33.2.2. šo noteikumu 32.4. apakšpunktā minēto darbību īstenošanas izmaksas."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Izteikt 39.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"39. Līdzfinansējuma apmēra noteikšana:</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39.1. šo noteikumu 22. punktā minētajā gadījumā projekta īstenošanai nepieciešamo līdzfinansējumu 8,6 procentu apmērā no projekta kopējām attiecināmajām izmaksām nodrošina no projekta iesniedzēja vai sadarbības partnera (ja attiecināms) rīcībā esošiem līdzekļiem:</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39.1.1. no labuma guvēja rīcībā esošā privātā finansējuma no savas saimnieciskās darbības, kredītresursu līdzekļiem, citiem finanšu resursiem vai finansējuma, ko piešķir saskaņā ar normatīvajiem aktiem par kārtību, kādā paredzami valsts budžeta līdzekļi valsts zinātniskās institūcijas pamatdarbību īstenošanai;</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39.1.2. no ieguldījumiem natūrā, kuru vērtību ir iespējams neatkarīgi auditēt un novērtēt atbilstoši vadošās iestādes izstrādātajai metodikai par ieguldījumiem natūrā projektu līdzfinansēšanai 2021.–2027. gada plānošanas periodā un šo noteikumu 40. punktā minētajiem nosacījumiem. Kopējais ieguldījums natūrā nepārsniedz piecus procentus no projekta kopējām attiecināmajām izmaksām. Procentuālā ierobežojuma atbilstību pārbauda un absolūtos skaitļos nosaka sadarbības iestāde, apstiprinot projekta iesniegumu;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39.2. šo noteikumu 23. punktā minētajos gadījumos projekta īstenošanai nepieciešamo līdzfinansējumu nodrošina no projekta iesniedzēja un sadarbības partnera (ja attiecināms) privātā finansējuma (projekta iesniedzēja un sadarbības partnera (ja attiecināms) rīcībā esošie līdzekļi, kredītresursi vai citi finanšu resursi, par kuriem nav saņemts nekāds publisks atbalsts, tai skaitā finansējums, par kuru nav saņemts nekāds valsts vai pašvaldības galvojums, vai valsts vai pašvaldības kredīts uz atvieglotiem nosacījumiem). Līdzfinansējuma apmēru nosaka, ņemot vērā publiskā finansējuma apmēru, kas noteikts, ievērojot šo noteikumu 42., 48. un 49. punkta un pielikuma nosacījumus;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39.3. sadarbības projekta ietvaros šo noteikumu 22.2. un 23.3. apakšpunktā minētajā gadījumā, ja sadarbības partneris ir ārvalsts zinātniskā institūcija, kas nav reģistrēta Latvijas zinātnisko institūciju reģistrā, vai nav Latvijas Komercreģistrā reģistrēta juridiska persona, sadarbības partnera projekta daļas īstenošanai nepieciešamo finansējumu nodrošina no sadarbības partnera rīcībā esošajiem līdzekļiem."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Svītrot 47.1. apakšpunktu.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Izteikt 56.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"56. Īstenojot projektu iesniegumu starptautisko ekspertīzi, Latvijas Zinātnes padome nodrošina, ka, izvērtējot projektu iesniegumus, to vidusposma un gala rezultātus, tiek izstrādāta kārtība, kādā projektu iesniegumu izvērtēšanas procesā tiks nodrošināta konfidencialitātes un interešu konflikta novēršanas prasību ievērošana atbilstoši Eiropas Parlamenta un Padomes 2024. gada 23. septembra Regulas (ES, Euratom) Nr. 2024/2509 par finanšu noteikumiem, ko piemēro Savienības vispārējam budžetam (pārstrādāta redakcija), 61. pantam, identificēti apstākļi, kuri izraisa vai var izraisīt interešu konfliktu, kas rada apdraudējumu vai kaitējumu projekta īstenošanai, noteikti veicamie pasākumi un izstrādāti darbības plāni interešu konflikta preventīvai novēršanai un gadījumiem, kad interešu konflikts ir atklāts, kā arī, īstenojot projektu, paraksta apliecinājumu par interešu konflikta neesību. Latvijas Zinātnes padome pārliecinās, ka ārvalstu ekspertu atlasē iesaistītie Latvijas Zinātnes padomes darbinieki un ārvalstu eksperts ir iepazinušies ar attiecīgo kārtību un parakstījuši apliecinājumu par interešu konflikta neesību."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Izteikt 59.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"59. Pasākuma ietvaros finansē tikai tādas attiecināmās izmaksas, kuras ir tieši saistītas ar projekta ietvaros veiktajām darbībām, ir samērīgas, pamatotas un atbilst Eiropas Parlamenta un Padomes 2024. gada 23. septembra Regulas (ES, Euratom) Nr. 2024/2509 par finanšu noteikumiem, ko piemēro Savienības vispārējam budžetam (pārstrādāta redakcija), prasībām."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 </w:t>
      </w:r>
      <w:r w:rsidR="00000000" w:rsidRPr="00000000" w:rsidDel="00000000">
        <w:rPr>
          <w:rtl w:val="0"/>
        </w:rPr>
        <w:t xml:space="preserve">Svītrot 60. punktu.</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prezidentes pienākumu izpildītāja ‒ tieslietu ministre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I. Lībiņa-Egnere</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Izglītības un zinātnes ministre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Čakša</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24-TA-2372</w:t>
    </w:r>
    <w:r>
      <w:br/>
    </w:r>
    <w:r w:rsidR="00000000" w:rsidRPr="00000000" w:rsidDel="00000000">
      <w:rPr>
        <w:rtl w:val="0"/>
      </w:rPr>
      <w:t xml:space="preserve">Izdrukāts 29.07.2026. 23.41 - 1.0.VK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24-TA-2372</w:t>
    </w:r>
    <w:r>
      <w:br/>
    </w:r>
    <w:r w:rsidR="00000000" w:rsidRPr="00000000" w:rsidDel="00000000">
      <w:rPr>
        <w:rtl w:val="0"/>
      </w:rPr>
      <w:t xml:space="preserve">Izdrukāts 29.07.2026. 23.41 - 1.0.VK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noteikumu_(grozījumu)_projekts_24-TA-2372.docx</dc:title>
</cp:coreProperties>
</file>

<file path=docProps/custom.xml><?xml version="1.0" encoding="utf-8"?>
<Properties xmlns="http://schemas.openxmlformats.org/officeDocument/2006/custom-properties" xmlns:vt="http://schemas.openxmlformats.org/officeDocument/2006/docPropsVTypes"/>
</file>