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(nekustamā īpašuma kadastra Nr. 1300 008 4011) – zemes vienību (zemes vienības kadastra apzīmējums 1300 008 4011) 3821 m</w:t>
      </w:r>
      <w:r w:rsidR="00000000" w:rsidRPr="00000000" w:rsidDel="00000000">
        <w:rPr>
          <w:vertAlign w:val="superscript"/>
          <w:rtl w:val="0"/>
        </w:rPr>
        <w:t xml:space="preserve">2</w:t>
      </w:r>
      <w:r w:rsidR="00000000" w:rsidRPr="00000000" w:rsidDel="00000000">
        <w:rPr>
          <w:rtl w:val="0"/>
        </w:rPr>
        <w:t xml:space="preserve"> platībā, tai skaitā zemes vienībā ietilpstošo valsts meža zemi 0,35 ha platībā, un būvi – saimniecības ēkas pamatus (būves kadastra apzīmējums 1300 008 4011 001) – Brīvības prospektā 40, Jūrmalā,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 panta pirmo daļu, ceturtās daļas 2. punktu, 7. punktu un 5. panta pirmo daļu, kā arī  ievērojot Publiskas personas mantas atsavināšanas likuma 14. panta nosacījumus, atļaut valsts akciju sabiedrībai "Valsts nekustamie īpašumi" pārdot kopā izsolē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530 0047) – būvi (būves kadastra apzīmējums 0100 030 2008 008) – Ernesta Birznieka-Upīša ielā 21,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1/100 domājamo daļu no nekustamā īpašuma (nekustamā īpašuma kadastra Nr. 0100 030 2008) – zemes vienības (zemes vienības kadastra apzīmējums 0100 030 2008) 0,4016 ha platībā – Ernesta Birznieka-Upīša ielā 21A,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nekustamajiem īpašumiem (domājamām daļām)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(domājamās daļas)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22-TA-954</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22-TA-954</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rīkojuma_projekts_22-TA-954.docx</dc:title>
</cp:coreProperties>
</file>

<file path=docProps/custom.xml><?xml version="1.0" encoding="utf-8"?>
<Properties xmlns="http://schemas.openxmlformats.org/officeDocument/2006/custom-properties" xmlns:vt="http://schemas.openxmlformats.org/officeDocument/2006/docPropsVTypes"/>
</file>