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Dzīvokļa īres un komunālo izdevumu kompensācijas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12.11.2013. noteikumu Nr. 1291 redakcijā, kas grozīta ar MK 21.10.2014. noteikumiem Nr. 646; MK 22.04.2015. noteikumiem Nr. 198; MK 19.04.2016. noteikumiem Nr. 235; MK 27.11.2018. noteikumiem Nr. 721; MK 16.06.2020. noteikumiem Nr. 381)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Dzīvokļa īres un komunālo izdevumu kompensācijas apmēra aprēķināšanai darbinieki atbilstoši amatiem tiek sadalīti šādās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 grupa – vēstnieks, pārstāvniecības vadītājs, pilnvarotais lietvedis, ģenerālkonsuls, prokurors – Eirojusta pārstāvis, 1. ranga aizsardzības atašejs ASV un aizsardzības padomnieks ANO, augstāko virsnieku sastāva karavīrs, valsts tiešās pārvaldes amatpersona, kuras amats atbilst 14., 15. vai 16.mēnešalgu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II grupa – padomnieks, nozares padomnieks, sakaru virsnieks, pirmais sekretārs, nozares atašejs, konsuls, konsulāta vadītājs, konsulārās nodaļas vadītājs, nodaļas vadītājs, valsts tiešās pārvaldes amatpersona, kuras amats atbilst 11., 12. vai 13.mēnešalgu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III grupa – 1.ranga aizsardzības atašejs, 2.ranga aizsardzības atašejs, 3.ranga aizsardzības atašejs, vecāko virsnieku sastāva karavīrs;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IV grupa – jaunāko virsnieku sastāva karavīrs, aizsardzības atašeja palīgs;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 grupa – otrais sekretārs, vicekonsuls, vecākais grāmatvedis, informācijas sistēmu administrators, kancelejas nodaļas vadītājs, vecākais lietvedis, trešais sekretārs, nozares atašeja palīgs, atašejs, grāmatvedis, kancelejas nodaļas vadītāja vietnieks, speciālists, informācijas sistēmu uzturētājs, lietvedis, automobiļa vadītājs, saimniecības pārzinis, vecākais referents, instruktoru un kareivju sastāva karavīrs, mājas pārvaldnieks, valsts tiešās pārvaldes amatpersona, kuras amats atbilst 1., 2., 3., 4., 5., 6., 7., 8., 9. vai 10.mēnešalgu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Noteikt šādu maksimālo dzīvokļa īres un komunālo izdevumu kompensācijas apmēru kalendāra gadā:</w:t>
      </w:r>
    </w:p>
    <w:p w:rsidP="00000000" w:rsidRDefault="00000000" w:rsidR="00000000" w:rsidRPr="00000000" w:rsidDel="00000000">
      <w:pPr>
        <w:contextualSpacing w:val="0"/>
        <w:jc w:val="righ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(euro)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718"/>
        <w:gridCol w:w="1185"/>
        <w:gridCol w:w="1185"/>
        <w:gridCol w:w="1185"/>
        <w:gridCol w:w="1185"/>
        <w:gridCol w:w="1185"/>
        <w:tblGridChange w:id="0">
          <w:tblGrid>
            <w:gridCol w:w="514"/>
            <w:gridCol w:w="2718"/>
            <w:gridCol w:w="1185"/>
            <w:gridCol w:w="1185"/>
            <w:gridCol w:w="1185"/>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(Vašingtona)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54 155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32 475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(Sanfrancisko)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79 890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53 439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51 016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45 349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39 956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(Losandželosa)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79 890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53 439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51 016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45 349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39 956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(Ņujorka)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79 890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53 439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51 016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45 349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39 956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Apvienotie Arābu Emirāti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42 287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Azerbaidžāna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(Minska)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17 687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13 461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(Vitebska)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15 809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11 896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Beļģija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Brazīlija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Bulgārija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Čehija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22 539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16 904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43 953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21 984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Ēģipte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(Parīze)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(Strasbūra)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27 524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24 468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Grieķija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Gruzija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Igaunija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Itālija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34 709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30 853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Izraēla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54 155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30 933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Japāna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42 287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Kanāda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Kazahstāna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54 155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Korejas Republika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(Maskava)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54 155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34 806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30 939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(Sanktpēterburga)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22 539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16 819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16 904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(Kaļiņingrada)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22 539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16 819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16 904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(Pleskava)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15 809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11 896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Lielbritānija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49 462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42 045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Lietuva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Moldova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Nīderlande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43 953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21 984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Norvēģija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Portugāle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Rumānija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Singapūra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42 287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Slovēnija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22 539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22 483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16 904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43 953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21 984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Šveice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52 704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26 452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Turcija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Ukraina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15 183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Ungārija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22 539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22 483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19 985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16 904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Uzbekistāna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17 687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13 461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20 348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Zviedrija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43 953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21 984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Ņemot vērā nosūtītājas institūcijas finanšu līdzekļus, dzīvokļa īres un komunālo izdevumu kompensācijas apmērus var samazināt institūcijas vadītājs ar 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Šajā pielikumā neminētajām valstīm piemēro Beļģijai noteikto dzīvokļa īres un komunālo izdevumu kompensācijas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22-TA-1570</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22-TA-1570</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noteikumu_konsolidētā_versija_p4_22-TA-1570.docx</dc:title>
</cp:coreProperties>
</file>

<file path=docProps/custom.xml><?xml version="1.0" encoding="utf-8"?>
<Properties xmlns="http://schemas.openxmlformats.org/officeDocument/2006/custom-properties" xmlns:vt="http://schemas.openxmlformats.org/officeDocument/2006/docPropsVTypes"/>
</file>