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Ēkas konstruktīvo elementu tehniskā stāvokļa vizuālais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6838"/>
        <w:tblGridChange w:id="0">
          <w:tblGrid>
            <w:gridCol w:w="802"/>
            <w:gridCol w:w="1760"/>
            <w:gridCol w:w="68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Teicams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Konstruktīvajam elementam nav redzamu bojājumu (piemēram, nav plaisu, atšķēlumu, trupes, korozijas).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Bojājumi konstruktīvā elementa virsmas laukumā nav redzami nevienā ēkas telpu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nenozīmīgi bojājumi atsevišķās konstruktīvā elementa daļās (piemēram, ir iedobumi, robi, nenozīmīgas plaisas, daļēji bojāta antikorozijas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Bojājumi aizņem līdz 10 % no konstruktīvā elementa virsmas laukuma vai ir redzami vismaz 5 % ēkas telpu grupu ārsienās vai pārsegumos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bojājumi (piemēram, caurumi vai caurejošas plaisas, dzelzsbetona konstrukcijām atsegta armatūra, trupes bojājumi un sīkplaisas koksnes virskārtā, jumta segumā lokšņu fragmentu atšķēlumi, virsmas uzpūtumi, atsevišķu ieseguma elementu iztrūkums). Konstruktīvajam elementam nav atjaunotas bojātās konstrukcijas, bet ieiešana ēkas telpās ir iespējama.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Bojājumi aizņem 11 %–50 % no konstruktīvā elementa virsmas laukuma vai ir redzami vismaz 10 % ēkas telpu grupu ārsienās vai pārsegumos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bojājumi (piemēram, apjomīgi sienu, grīdas izspiedumi un virsmas līniju izliekumi, masveidīgs mūra sienu plaisu tīklojums, būvprojektā neparedzēta mūra sienu novirze no vertikāles pārsniedz 50 % sienas biezuma, ir ierīkoti pagaidu balsti, jumta seguma virsmas plaisas un masveida caurtecējumi).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Bojājumi aizņem 51 %–81 % no konstruktīvā elementa virsmas laukuma vai ir redzami vairāk nekā 10 % ēkas telpu grupu telpu ārsienās vai pārsegumos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slikts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Konstruktīvais elements daļēji sabrucis vai sagruvis, vai pilnībā satrunējis, bet vēl eksistē</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23-TA-3200</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23-TA-3200</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noteikumu_konsolidētā_versija_p3_23-TA-3200.docx</dc:title>
</cp:coreProperties>
</file>

<file path=docProps/custom.xml><?xml version="1.0" encoding="utf-8"?>
<Properties xmlns="http://schemas.openxmlformats.org/officeDocument/2006/custom-properties" xmlns:vt="http://schemas.openxmlformats.org/officeDocument/2006/docPropsVTypes"/>
</file>