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Vēja elektrostaciju maksājumu kārtība vietējās kopienas attīstībai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22.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elektroenerģijas ražotājs, kura vēja elektrostacija atrodas Latvijas Republikas teritorijā, iekšējos jūras ūdeņos, teritoriālajā jūrā vai ekskluzīvajā ekonomiskajā zonā un kuras uzstādītā jauda ir vienāda ar vienu megavatu vai lielāka par to, veic vēja elektrostacijas maksājumus vietējās kopienas attīstībai (turpmāk – maksājums kopienai), paredzēto maksājumu apmēru, to maksāšanas un uzraudzības kārtību, termiņus, kā arī maksājumu izmantošanas mērķus.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kopienai veicējs ir elektroenerģijas ražotājs, kura vēja elektrostacija atrodas Latvijas Republikas teritorijā vai iekšējos jūras ūdeņos, teritoriālajā jūrā vai ekskluzīvajā ekonomiskajā zonā līdz 25 km attālumā no krasta.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kopienai elektroenerģijas ražotājs veic reizi gadā līdz 1. martam par iepriekšējo kalendāro gadu, iemaksājot to pašvaldības, kuras administratīvajā teritorijā atrodas vēja elektrostacija vai kuras teritorija ir taisnā leņķī pret krastu no iekšējos jūras ūdeņos, teritoriālajā jūrā vai ekskluzīvajā ekonomiskajā zonā esošas vēja elektrostacijas robežas (turpmāk – administrējošā pašvaldība), tīmekļvietnē norādītajā kontā, maksājuma mērķī norādot vēja elektrostacijas nominālo jaudu un elektrostacijas vai vēja parka nosaukumu.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ražotāja pienākums veikt maksājumu kopienai sākas nākamajā gadā pēc sadales sistēmas operatora atļaujas par elektrostacijas pieslēgšanu sistēmai vai pārvades sistēmas operatora galīgā ekspluatācijas paziņojuma saņemšanas, un maksāšanas pienākums izbeidzas, kad vēja elektrostacija tiek demontēta un veikta demontētās elektrostacijas teritorijas sakārtošana. Elektroenerģijas ražotājs, kura vēja elektrostacija tiek demontēta pirms nākamajā gadā maksājuma kopienai termiņa, maksājumu kopienai par pēdējo gadu neveic.</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kopienai apmērs ir 2500 euro gadā (bez pievienotās vērtības nodokļa) par katru (arī nepilnu) vēja elektrostacijas nominālās jaudas megavatu, ja vēja elektrostacijas augstums ir 100 metri un vairāk.</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kopienai saņēmēji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administrējošā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mājsaimniecība, kuras nekustamais īpašums – dzīvokļa īpašums, dzīvojamā māja vai tās daļa saskaņā ar normatīvajiem aktiem būvju klasifikācijas jomā </w:t>
      </w:r>
      <w:r w:rsidR="00000000" w:rsidRPr="00000000" w:rsidDel="00000000">
        <w:rPr>
          <w:rtl w:val="0"/>
        </w:rPr>
        <w:t xml:space="preserve">EndFragment </w:t>
      </w:r>
      <w:r w:rsidR="00000000" w:rsidRPr="00000000" w:rsidDel="00000000">
        <w:rPr>
          <w:rtl w:val="0"/>
        </w:rPr>
        <w:t xml:space="preserve">– atrodas divu km rādiusā no: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sauszemē esošas vēja elektrostacijas robežas;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punkta krastā, kuru nosaka taisnā leņķī pret krastu no iekšējos jūras ūdeņos, teritoriālajā jūrā vai ekskluzīvajā ekonomiskajā zonā esošas vēja elektrostacijas robežas.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Vēja elektrostacijas robežu nosaka vēja elektrostacijas torņa projekcijas uz zemes vai jūras attālumā.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Mājsaimniecības nekustamā īpašuma atrašanās divu kilometru rādiusā nozīmē, ka vismaz 0,001 % no šī nekustamā īpašuma atrodas divu kilometru attālumā no vēja elektrostacijas robežas (attālumu no vēja elektrostacijas nosaka no vēja elektrostacijas torņa projekcijas uz zemes).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Administrējošā pašvaldība identificē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minētās mājsaimniecības, kuras var atrasties administrējošās pašvaldības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administrējošā pašvaldība konstatē, ka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minētajā attālumā ir citas pašvaldības administratīvā teritorija, administrējošā pašvaldība paziņo attiecīgajai pašvaldībai par nepieciešamību identificēt maksājuma kopienai attiecināmo subjektu loku un to maksājuma rekvizītus. Attiecīgā pašvaldība sniedz atbildi uz administrējošās pašvaldības pieprasījumu divu nedēļu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Mājsaimniecībai noteiktā maksājuma kopienai saņēmējs ir fiziska persona, kurai zemesgrāmatā ir nostiprinātas īpašuma tiesības uz dzīvokļa īpašumu, dzīvojamo māju vai tās daļu, kas nodota ekspluatācijā pirms vēja elektrostacijas nodošanas ekspluatācijā</w:t>
      </w:r>
      <w:r w:rsidR="00000000" w:rsidRPr="00000000" w:rsidDel="00000000">
        <w:rPr>
          <w:b w:val="1"/>
          <w:rtl w:val="0"/>
        </w:rPr>
        <w:t xml:space="preserve"> </w:t>
      </w:r>
      <w:r w:rsidR="00000000" w:rsidRPr="00000000" w:rsidDel="00000000">
        <w:rPr>
          <w:rtl w:val="0"/>
        </w:rPr>
        <w:t xml:space="preserve">un kurā netiek veikta saimnieciskā darbība.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Administrējošā pašvaldība 50% no saņemto maksājumu kopienai summas sadala proporcionāli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minēto mājsaimniecību skaitam un līdz katra gada 1. jūnijam pārskaita maksājumu attiecīgajiem subjektiem uz to nekustamā īpašuma nodokļa maksātāja kontu, bet pārējos 50% no saņemto maksājumu kopienai summas ieskaita pašvaldības budžeta ieņēmumos un izlieto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noteiktajiem mērķiem. Ja nekustamā īpašuma nodokļa maksātāja konts nav zināms, administrējošā pašvaldība veic saziņu ar mājsaimniecību un noskaidro maksājuma rekvizītus maksājuma kopienai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vienas mājsaimniecības dzīvojamā māja ir kopīpašums, maksājums mājsaimniecībai tiek vienādās daļās ieskaitīts uz visu kopīpašnieku norēķinu kontiem vai, ja nekustamā īpašuma nodokli maksā viens no kopīpašniekiem, – uz viņa norēķinu kontu. Ja tiek veikts pārskaitījums uz personas kontu ārvalsts kredītiestādē, šā maksājuma saņēmējs sedz visas izmaksas par pārskaitījumu, tostarp konvertācijas izmaksas, ārpus Eiropas Savienības dalībvalsts vai Eiropas Ekonomikas zonas valsts. Pārskaitāmā summa tiek samazināta par bankas vai kredītiestādes ieturēto komisijas maksu arī tad, ja kļūdaini veikts maksājums atkārtoti tiek nosūtīts maksājuma saņēmējam.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Maksājuma kopienai izmaksa vienai mājsaimniecībai gadā ir ne mazāka par vienu minimālo mēneša darba algu, bet ne lielāka par trīs minimālajām mēneša darba algām atbilstoši attiecīgajā gadā noteiktajam minimālās mēneša darba algas līmenim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noteiktā proporcija var mainīties, ja mājsaimniecībām paredzētā maksājumu kopienai summas daļa nav pietiekama, lai mājsaimniecībām veiktu izmaksu vienas minimālās algas apmērā, ar nosacījumu, ka administrējošā pašvaldība saņem ne mazāk kā 10%  no saņemto maksājumu kopienai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noteiktā minimālā maksājuma kopienai izmaksa mājsaimniecībai var tikt samazināta gadījumā, ja maksājums kopienai, sadalot to atbilstoši subjektu skaitam un veicot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maksājuma kopienai pārdali, uz vienu subjektu nesasniedz vienas minimālās mēneša darba algas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pēc mājsaimniecībām veiktās maksājuma kopienām izmaksas rodas uz  tiem attiecinātās saņemto maksājumu kopienai daļas atlikums, to ieskaita administrējošās pašvaldības budžeta ieņēmumos un izlieto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noteiktajiem mērķiem.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Administrējošā pašvaldība no maksājuma kopienai gūtos ienākumus var izmantot šādiem mērķiem pašvaldības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energoefektivitātes veicināšanai  – energoefektīvs apgaismojums, pašvaldības dzīvojamā fonda renovācija, dzīvojamo māju energoefektivitātes pasākumu veikšana un līdzvērtīgiem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pasākumiem – ielu, laukumu, parku un citu teritoriju tīrīšana, labiekārtošana, uzturēšana, atkritumu savākšana un līdzvērtīgiem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ceļu infrastruktūras atjaunošanai un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maksājuma kopienai administrēšanas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Maksājums kopienai nav attiecināms uz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minēto mājsaimniecību, ja vismaz viens no tās locekļiem ir attiecīgās vēja elektrostacijas īpašnieks vai tiesiskais valdītājs vai ja mājsaimniecība tai piederošo zemi ir nodevusi valdījumā vēja elektroenerģijas ražotājam.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Administrējošā pašvaldība uzrauga maksājuma kopienai savlaicīgu veikšanu un līdz katra gada 15. jūlijam iesniedz par pašvaldību attīstību un pārraudzību atbildīgajai ministrijai pārskatu par saņemtajiem un faktiski izlietotajiem līdzekļiem maksājumiem kopienai izmaksai un pašvaldības mērķu sasniegšanai.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pašvaldību attīstību un pārraudzību atbildīgā ministrija nodrošina no maksājumiem kopienai iegūto līdzekļu izlietojuma kontroli un atbilstību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Noteikumi ir attiecināmi uz visām vēja elektrostacijām, kuras ir pieslēgtas elektroenerģijas pārvades vai sadales sistēmai pēc šo noteikumu spēkā stāšanās.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Maksājums kopienai ir veicams par vēja elektrostacijas palielināto jaudas apjomu, ja: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vēja elektrostacijām virs 100 m, kuras ir pieslēgtas pie elektroenerģijas sadales vai pārvades sistēmas pirms šo noteikumu spēkā stāšanās, veikta jaudas palielināšana pēc šo noteikumu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vēja elektrostacijām, kuras ir pieslēgtas pie elektroenerģijas sadales vai pārvades sistēmas pirms šo noteikumu spēkā stāšanās, pēc jaudas palielināšanas augstums ir virs 100 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vēja elektrostaciju parkā, kas pieslēgts pie elektroenerģijas sadales vai pārvades sistēmas pirms šo noteikumu spēkā stāšanās, palielināts vēja elektrostaciju skaits un to augstums ir virs 100 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24-TA-1019</w:t>
    </w:r>
    <w:r>
      <w:br/>
    </w:r>
    <w:r w:rsidR="00000000" w:rsidRPr="00000000" w:rsidDel="00000000">
      <w:rPr>
        <w:rtl w:val="0"/>
      </w:rPr>
      <w:t xml:space="preserve">Izdrukāts 29.07.2026. 21.35 - 1.0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24-TA-1019</w:t>
    </w:r>
    <w:r>
      <w:br/>
    </w:r>
    <w:r w:rsidR="00000000" w:rsidRPr="00000000" w:rsidDel="00000000">
      <w:rPr>
        <w:rtl w:val="0"/>
      </w:rPr>
      <w:t xml:space="preserve">Izdrukāts 29.07.2026. 21.35 - 1.0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noteikumu_projekts_24-TA-1019.docx</dc:title>
</cp:coreProperties>
</file>

<file path=docProps/custom.xml><?xml version="1.0" encoding="utf-8"?>
<Properties xmlns="http://schemas.openxmlformats.org/officeDocument/2006/custom-properties" xmlns:vt="http://schemas.openxmlformats.org/officeDocument/2006/docPropsVTypes"/>
</file>