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31. maijā (prot. Nr. 29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Sporta politikas pamatnostādnēm 2022.–2027.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Sporta politikas pamatnostādnes 2022.–2027. gadam (turpmāk – pamatnostādnes).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pamatnostādņu īstenošanā, bet par līdzatbildīgajām institūcijām – Aizsardzības ministriju, Ekonomikas ministriju, Finanšu ministriju, Iekšlietu ministriju, Labklājības ministriju, Vides aizsardzības un reģionālās attīstības ministriju, Veselības ministriju un Pārresoru koordinācijas centru. Minētajām institūcijām atbilstoši kompetencei nodrošināt  pamatnostādnēs noteikto uzdevumu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2. punktā minētajām institūcijām pamatnostādnēs iekļautos pasākumus 2022. gadā īstenot no tām piešķirtajiem valsts budžeta līdzekļiem, bet jautājumu par papildus nepieciešamo finansējumu turpmākajos gados izskatīt Ministru kabinetā kārtējā gada valsts budžeta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Pamatnostādnēs ietverto pasākumu īstenošanai papildus nepieciešamais finansējums nav ietverts Latvijas Nacionālā attīstības plāna 2021.–2027. gadam indikatīvajā projektu kopumā un likumā "Par vidēja termiņa budžeta ietvaru 2022., 2023. un 2024. gadam". Pasākumi, kuriem nepieciešams papildu finansējums, var tikt īstenoti, ja valsts budžeta sagatavošanas procesā tiks atbalstīts Izglītības un zinātnes ministrijas iesniegtais prioritāro pasākumu pieteikums. Pamatnostādņu īstenošanas procesā jāsamēro finansējuma nepieciešamība ar potenciāli pieejamo finansējumu, kā arī jāvērtē iespēja piesaistīt privāto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iesniegt noteiktā kārtībā Ministru kabinetā: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31. decembrim – pamatnostādņu īstenošanas plānu 2023.–2027. gadam;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1. jūlijam – pamatnostādņu īstenošanas starpposma novērtējumu.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22-TA-780</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22-TA-780</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rīkojuma_projekts_22-TA-780.docx</dc:title>
</cp:coreProperties>
</file>

<file path=docProps/custom.xml><?xml version="1.0" encoding="utf-8"?>
<Properties xmlns="http://schemas.openxmlformats.org/officeDocument/2006/custom-properties" xmlns:vt="http://schemas.openxmlformats.org/officeDocument/2006/docPropsVTypes"/>
</file>