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 novembrī (prot. Nr. 55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30. novembra noteikumos Nr. 776 "Valsts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30. novembra noteikumos Nr. 776 "Valsts un Eiropas Savienības atbalsta piešķiršanas kārtība atklātu projektu konkursa veidā pasākumā "Ieguldījumi materiālajos aktīvos" 2014.–2020. gada plānošanas perioda pārejas laikā 2021. un 2022. gadā" (Latvijas Vēstnesis, 2021, 237. nr.; 2022, 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lauku saimniecība ir juridiska vai fiziska persona, kas ražojusi primāros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kopprojekts ir projekts, ko īsteno, lai  veidotu savstarpēju sadarbību kopēja projekta realizēšanā un sekmētu pilna ražošanas cikla vai pievienotās vērtības radīšanu, sadarbojoties pārstrādes un primārajam ražotājam vai vairākiem atbalsta pretendentiem – primārajiem ražotājiem, kā arī lai sadarbotos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atbalsta pretendents šo noteikumu izpratnē ir lauksaimniecības produkcijas pārstrādes ražotājs, tostarp komercdarbības atbalsta saņēmējs saskaņā ar Komisijas 2014. gada 17. jūnija Regulu (ES) Nr. 651/2014, ar ko noteiktas atbalsta kategorijas atzīst par saderīgām ar iekšējo tirgu, piemērojot Līguma 107. un 108. pantu (turpmāk – Komisijas regula Nr. 651/2014), vai primārais ražotājs, kā arī šo noteikumu 46. punktā minētais atbalsta pretendents, kas pretendē uz atbalstu pasākuma "Ieguldījumi materiālajos aktīvos" apakšpasākumos, tostarp kopprojekta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atbilstoši šo noteikumu 3., 3.</w:t>
      </w:r>
      <w:r w:rsidR="00000000" w:rsidRPr="00000000" w:rsidDel="00000000">
        <w:rPr>
          <w:vertAlign w:val="superscript"/>
          <w:rtl w:val="0"/>
        </w:rPr>
        <w:t xml:space="preserve">1</w:t>
      </w:r>
      <w:r w:rsidR="00000000" w:rsidRPr="00000000" w:rsidDel="00000000">
        <w:rPr>
          <w:rtl w:val="0"/>
        </w:rPr>
        <w:t xml:space="preserve">, 4., 5., 6. un 7. pielikumā minētajiem projektu atlases kritērijiem priekšroka saņemt publisko finansējumu ir atbalsta pretendentam, kam ir piešķirts mazāks publiskais finansējums. Ja ir vienāds gan punktu skaits, gan piešķirtais publiskā finansējuma apmērs, priekšroka saņemt publisko finansējumu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23.1.1. šo noteikumu 1.1. apakšpunktā minētajā apakšpasākumā – atbalsta pretendentam, kam projekta īstenošanai paredzētas mazākas attiecināmās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23.1.2. šo noteikumu 1.2. apakšpunktā minētajā apakšpasākumā – atbalsta pretendentam, kam ir lielāks koeficients kritēriju grupā par iemaksātajām nodokļu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Šajos noteikumos attiecināmajām izmaksām piešķirto atbalstu var apvienot ar citu atbalstu, nepārsniedzot Regulas Nr. 1305/2013 II pielikumā noteikto atbalsta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10 procentu apmērā no attiecināmo izmaksu summas – maza saimniecība, kuras kopējais apgrozījums pēdējā noslēgtajā gadā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30 procentu apmērā no attiecināmo izmaksu summas – vidēja saimniecība, kuras kopējais apgrozījums pēdējā noslēgtajā gadā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50 procentu apmērā no attiecināmo izmaksu summas – liela saimniecība, kuras kopējais apgrozījums pēdējā noslēgtajā gadā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Lauku saimniecībām no šo noteikumu 6.1. apakšpunktā minētā finansējuma piešķir atbalstu ieguldījumiem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 Atbalsta saņemšanas nosacījumi apakšpasākumā "Atbalsts ieguldījumiem pārstrādē"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3.1. Vispārējie atbalsta saņemšanas nosacījumi apakšpasākumā "Atbalsts ieguldījumiem pārstrādē"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Šo noteikumu 1.2. apakšpunktā minētajā apakšpasākumā atbalsta šādas aktivitātes: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 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 pamatojoties uz līgumiem ar trešajām personām, kas atbildīgas par darbu izpildi, – lauksaimniecības produktu pārstrādei, ar to saistītai iepakošanai un pirmapstrādei paredzētu: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37.2.1. jaunu būvju būvniecībai un esošo būvju pārbūvei;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37.2.2. būvju ierīkošanai – būvdarbiem inženierbūves montāžai, ieguldīšanai vai novietošanai pamatnē vai būvē;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37.2.3. 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37.2.4. 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Apakšpasākumā atbalsta pretendents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juridiska persona, kura lauksaimniecības produktu pārstrādes saimnieciskās darbības veicēja statusā nodarbojas ar lauksaimniecības produktu pārstrādi (turpmāk – pārstrādes saimnieciskās darbības veicējs);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juridiska persona, kas ražo primāro lauksaimniecības produkciju un plāno uzsākt lauksaimniecības produktu pārstrādi, pārstrādājot vismaz 70 procentu no saražotā primāro lauksaimniecības produktu apjoma (turpmāk – jauns pārstrādes saimnieciskās darbības veicējs). Jauna pārstrādes saimnieciskās darbības veicēja pārstrādes jauda nav lielāka par atbalsta pretendenta saražoto primāro lauksaimniecības produktu apjomu, ko plānots pārstrādāt;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 juridiska persona, kas nodarbojas ar lauksaimniecības produktu pārstrādi mājas apstākļos;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38.4. kooperatīvā sabiedrība, jauna kooperatīvā sabiedrība un kooperatīvo sabiedrību apvienība, kura lauksaimniecības produktu pārstrādes saimnieciskās darbības veicēja statusā nodarbojas ar lauksaimniecības produktu pārstrādi vai plāno to uzsākt.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Projekta īstenošanā izmantotās pamatizejvielas ir lauksaimniecības produkti. Projekta īstenošanā iegūtais galaprodukts ir: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produkts, kas minēts Līguma par Eiropas Savienības darbību I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produkts, kas nav minēts Līguma par Eiropas Savienības darbību I pielikumā, bet atbilst šādam Eiropas Savienības kombinētās nomenklatūras kodam: 04031051–04031099, 04039071–04039099, 04052010–04052030, 1518, 1704, 1805, 1806, 1901–1905, 20041091, 20052010, 2103, 2104, 2105, 2106, 2202 (tikai dabīgi raudzēts kvass ar alkohola saturu līdz 0,5 tilp. %), 2203, 3501 un 3502.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Saskaņā ar Regulas Nr. 1305/2013 17. panta 1. punkta "b" apakšpunktu un 3. punktu atbalstu projektā, kurā paredzamais galaprodukts ir minēts Līguma par Eiropas Savienības darbību I pielikumā, var apvienot ar citu atbalstu, nepārsniedzot Regulas Nr. 1305/2013 II pielikumā noteikto atbalsta intensitāti.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Ja projekts tiek īstenots valstspilsētās,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40 procentu gaļas pārstrādes sektorā;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30 procentu augļu un dārzeņu pārstrādes sektorā;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40.3. 50 procentu maizes, miltu konditorejas, sausiņu, cepumu vai augu eļļu un proteīnus saturošas dzīvnieku barības ražošanas sektorā;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40.4. 70 procentu pārējos sektoros.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Šo noteikumu 40. punktā minētajos sektoros izmantoto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īstenošanā esošā projekta rādītājiem, ja vien vietējās izcelsmes pamatizejvielu īpatsvars jau sākumā nepārsniedz 80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Atbalstu nepiešķir alkoholisko dzērienu ražošanai, izņemot tādu dabiski raudzētu dzērienu ražošanai, kuri minēti Līguma par Eiropas Savienības darbību I pielikumā un kuros spirta saturs nepārsniedz 12 procentu, ja projektu īsteno teritorijā ārpus valstspilsētām.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Atbalstu nepiešķir ražotājiem, kuri ražo mājas apstākļos un kuru kopējais apgrozījums ir lielāks par 200 000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3.2. Valsts atbalsta nosacījumu piemērošana apakšpasākumā "Atbalsts ieguldījumiem pārstrādē"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Ja projektā paredzamais galaprodukts nav minēts Līguma par Eiropas Savienības darbību I pielikumā, atbalstu sniedz dotāciju veidā saskaņā ar Komisijas regulas Nr. 651/2014 14. panta 1. punktu, ievērojot Komisijas regulas Nr. 651/2014 5. panta 2. punkta "a" apakšpunkta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Materiālie aktīvi un nemateriālie aktīvi atbilst Komisijas regulas Nr. 651/2014 2. panta 29. un 30. punkta un 2. panta 49. punkta "a" apakšpunkta definīcijai, ja, īstenojot projektu, iegūst šo noteikumu 43.</w:t>
      </w:r>
      <w:r w:rsidR="00000000" w:rsidRPr="00000000" w:rsidDel="00000000">
        <w:rPr>
          <w:vertAlign w:val="superscript"/>
          <w:rtl w:val="0"/>
        </w:rPr>
        <w:t xml:space="preserve">1</w:t>
      </w:r>
      <w:r w:rsidR="00000000" w:rsidRPr="00000000" w:rsidDel="00000000">
        <w:rPr>
          <w:rtl w:val="0"/>
        </w:rPr>
        <w:t xml:space="preserve">  punktā minēto galaproduktu.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Nemateriālie aktīvi atbilst Komisijas regulas Nr.  651/2014 14. panta 8. punktā minētajiem nosacījumiem. Lielajiem komersantiem nemateriālos aktīvus var finansēt līdz 50 procentiem no sākotnējo ieguldījumu kopējām attiecināmajām ieguldījumu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Par sīkajiem (mikro), mazajiem un vidējiem komersantiem uzskata komersantus, kas atbilst Komisijas regulas Nr. 651/2014 I pielikumā noteiktajai definīcijai.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Par lielajiem komersantiem uzskata komersantus, kas atbilst Komisijas regulas Nr. 651/2014 2. panta 24. punktā noteiktajai definīcijai.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Par saistītajām personām uzskata personas, kas atbilst Komisijas regulas Nr. 651/2014 I pielikuma 3. panta 3. punktā noteiktajai saistīto komersantu definīcijai.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Ja atbalsta projekts uzskatāms par vienotu investīciju projektu atbilstoši Komisijas regulas Nr. 651/2014 14. panta 13. punktam, piemēro Komisijas regulas Nr. 651/2014 14. panta 13. punkta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Piešķirto finansējumu šajos noteikumos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Latvijas Republikas statistiskajiem reģioniem (NUTS 3) un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1. sīkajiem (mikro) vai mazajiem komersantiem Kurzemes, Zemgales, Vidzemes un Latgales reģionā – 60 procentu, Pierīgas reģionā – 50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2. Kurzemes, Zemgales, Vidzemes un Latgales reģionā lielajiem komersantiem – 40 procentu, vidējiem komersantiem – 50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 Pierīgas reģionā lielajiem komersantiem – 30 procentu, vidējiem komersantiem – 40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9</w:t>
      </w:r>
      <w:r w:rsidR="00000000" w:rsidRPr="00000000" w:rsidDel="00000000">
        <w:rPr>
          <w:rtl w:val="0"/>
        </w:rPr>
        <w:t xml:space="preserve"> Atbalstu, kas piešķirts saskaņā ar šiem noteikumiem, nedrīkst apvienot ar reģionālo atbalstu citos reģionālā atbalsta projektos vai programmās attiecībā uz atbalstu algu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10</w:t>
      </w:r>
      <w:r w:rsidR="00000000" w:rsidRPr="00000000" w:rsidDel="00000000">
        <w:rPr>
          <w:rtl w:val="0"/>
        </w:rPr>
        <w:t xml:space="preserve"> Ja atbalsta pretendents izmanto šo noteikumu 43.</w:t>
      </w:r>
      <w:r w:rsidR="00000000" w:rsidRPr="00000000" w:rsidDel="00000000">
        <w:rPr>
          <w:vertAlign w:val="superscript"/>
          <w:rtl w:val="0"/>
        </w:rPr>
        <w:t xml:space="preserve">8</w:t>
      </w:r>
      <w:r w:rsidR="00000000" w:rsidRPr="00000000" w:rsidDel="00000000">
        <w:rPr>
          <w:rtl w:val="0"/>
        </w:rPr>
        <w:t xml:space="preserve"> punktā paredzēto kumulāciju, tas, pretendējot uz atbalstu saskaņā ar šiem noteikumiem, norāda visu informāciju par plānoto un piešķirto atbalstu tajā pašā projektā,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11</w:t>
      </w:r>
      <w:r w:rsidR="00000000" w:rsidRPr="00000000" w:rsidDel="00000000">
        <w:rPr>
          <w:rtl w:val="0"/>
        </w:rPr>
        <w:t xml:space="preserve"> Projekta iesniegums atbilst Komisijas regulas Nr. 651/2014 6. panta 2. punktā ietvertajām prasībām par pieteikumā iekļaujamo informāciju. Ja projektam piesaista citu publisko finansējumu, projektu var uzsākt, pēc tam, kad visās iestādēs, kurās pretendē uz atbalstu, ir iesniegts pieteikums un ir pieņemts lēmums par atbalsta piešķiršanu vai noslēgts līgums (ja atbalstu nepiešķir ar lēmumu). Uzsāktais projekts atbilst Komisijas regulas Nr. 651/2014 2. panta 23. punktam un ir tāds projekts, kura īstenošanas darbi ir sākti,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12</w:t>
      </w:r>
      <w:r w:rsidR="00000000" w:rsidRPr="00000000" w:rsidDel="00000000">
        <w:rPr>
          <w:rtl w:val="0"/>
        </w:rPr>
        <w:t xml:space="preserve"> Atbalsta pretendents, kas darbojas gan Komisijas regulas Nr. 651/2014 1. panta 3. punkta "a", "b" vai "c" apakšpunktā vai 13. panta "a" vai "b" apakšpunktā minētajās nozarēs, gan citās nozarēs, uz kurām attiecas Komisijas regulas Nr. 651/2014 darbības jomas, nodala atbalstāmās darbības vai finanšu plūsmas no citu darbības nozaru finanšu plūsmas, tādējādi nodrošinot, ka darbības izslēgtajās nozarēs negūst labumu no atbalsta, kas piešķirts saskaņā ar Komisijas regulu Nr. 651/2014. Atbalstu nesniedz darbībām, kas noteiktas Komisijas regulas Nr. 651/2014 1. panta 2. punkta "c" un "d"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13</w:t>
      </w:r>
      <w:r w:rsidR="00000000" w:rsidRPr="00000000" w:rsidDel="00000000">
        <w:rPr>
          <w:rtl w:val="0"/>
        </w:rPr>
        <w:t xml:space="preserve"> Atbalsta pretendents iesniedz apliecinājumu par Komisijas Regulas Nr. 651/2014 14. panta 16. punktā ietvertā nosacījuma ievērošanu, apstiprinot, ka pēdējo divu gadu laikā pirms pieteikšanās uz atbalstu to nav pārcēlis uz uzņēmējdarbības vietu, kurā tiks īstenots sākotnējais ieguldījums, kam pieprasīts atbalsts, un apņemas to nedarīt divus gadus pēc tam, kad ir pabeigts sākotnējais ieguldījums, kam tiek pieprasīts atbalsts. Atbalstu nepiešķir Komisijas regulas Nr. 651/2014 1. panta 4. punkta "a" apakšpunktā minētajos gadījumos, kā arī tad, ja atbalsta saņēmējs nevar apliecināt Komisijas regulas Nr. 651/2014 14. panta 16. punktā ietvertā nosacījuma ievērošanu. Pārcelšana atbilst Komisijas regulas Nr. 651/2014 2. panta 61. "a" apakšpunktā noteiktajam.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14</w:t>
      </w:r>
      <w:r w:rsidR="00000000" w:rsidRPr="00000000" w:rsidDel="00000000">
        <w:rPr>
          <w:rtl w:val="0"/>
        </w:rPr>
        <w:t xml:space="preserve"> Atbalstu nepiešķir, ja Lauku atbalsta dienests, pieņemot lēmumu par projekta iesnieguma apstiprināšanu, ir konstatējis kādu no grūtībās nonākuša uzņēmuma pazīmēm atbilstoši Komisijas regulas Nr. 651/2014 2. panta 18. punktam. Nosacījumu, lai saimnieciskās darbības veicējam pēc kreditora pieprasījuma piemērotu maksātnespējas procedūru, pārbauda, pamatojoties uz atbalsta pretendenta iesniegtu apliecinājumu. Ja projekta iesniegums ir par šo noteikumu 17. punktā minēto kopprojektu, Lauku atbalsta dienests, pieņemot lēmumu par projekta iesnieguma apstiprināšanu, vērtē katra atbalsta pretendenta statusu pēc tā lieluma, kā arī pārbauda grūtībās nonākuša uzņēmuma pazīmes visiem kopprojekta dalībniekiem. Atbalstu nepiešķir, ja Lauku atbalsta dienests projekta iesnieguma apstiprināšanas brīdī vismaz vienam atbalsta pretendentam ir konstatējis kādu no grūtībās nonākuša uzņēmuma pazīmēm.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15</w:t>
      </w:r>
      <w:r w:rsidR="00000000" w:rsidRPr="00000000" w:rsidDel="00000000">
        <w:rPr>
          <w:rtl w:val="0"/>
        </w:rPr>
        <w:t xml:space="preserve"> Lai izpildītu Komisijas regulas Nr. 651/2014 6. panta 2. punktā minēto stimulējošās ietekmes nosacījumu, projektu uzsāk īstenot pēc projekta iesnieguma iesniegšanas Lauku atbalsta dienestā. Projekta iesniegums atbilst Komisijas regulas Nr. 651/2014 6. panta 2. punktā ietvertajām prasībām par pieteikumā iekļaujamo informāciju. Projekta īstenošanu uzsāk atbilstoši Komisijas regulas Nr. 651/2014 2. panta 23. punktam. Ja projekta īstenošana ir uzsākta pirms projekta iesnieguma iesniegšanas, projekta iesniegumu noraida. Šī punkta nosacījumu nepiemēro 43.</w:t>
      </w:r>
      <w:r w:rsidR="00000000" w:rsidRPr="00000000" w:rsidDel="00000000">
        <w:rPr>
          <w:vertAlign w:val="superscript"/>
          <w:rtl w:val="0"/>
        </w:rPr>
        <w:t xml:space="preserve">11</w:t>
      </w:r>
      <w:r w:rsidR="00000000" w:rsidRPr="00000000" w:rsidDel="00000000">
        <w:rPr>
          <w:rtl w:val="0"/>
        </w:rPr>
        <w:t xml:space="preserve"> punktā minētajos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16</w:t>
      </w:r>
      <w:r w:rsidR="00000000" w:rsidRPr="00000000" w:rsidDel="00000000">
        <w:rPr>
          <w:rtl w:val="0"/>
        </w:rPr>
        <w:t xml:space="preserve"> Piešķirot atbalstu lielajiem komersantiem, ievēro Komisijas regulas Nr. 651/2014 2. panta 49. punkta "a" apakšpunkta un 14. panta 7. punkta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17</w:t>
      </w:r>
      <w:r w:rsidR="00000000" w:rsidRPr="00000000" w:rsidDel="00000000">
        <w:rPr>
          <w:rtl w:val="0"/>
        </w:rPr>
        <w:t xml:space="preserve"> Lauku atbalsta dienests nodrošina Komisijas regulas Nr. 651/2014 9. panta 1. un 4. punktā noteikto publicitātes pasākumu īstenošanu atbilstoši normatīvajam aktam par kārtību, kādā publicē informāciju par sniegto komercdarbības atbalstu un piešķir un anulē elektroniskās sistēmas lietošanas tiesības. Atbilstoši  Komisijas regulas Nr. 651/2014 12. pantam Lauku atbalsta dienests vismaz 10 gadus, sākot no dienas, kad ir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18</w:t>
      </w:r>
      <w:r w:rsidR="00000000" w:rsidRPr="00000000" w:rsidDel="00000000">
        <w:rPr>
          <w:rtl w:val="0"/>
        </w:rPr>
        <w:t xml:space="preserve"> Jaunu materiālo aktīvu iegādei, kas attiecināmi saskaņā ar šo noteikumu 69. punktu, izmantojot finanšu līzinga līdzekļus, ievēro Komisijas regulas Nr. 651/2014 14. panta 6. punkta "b" apakšpunkta nosacījumus, un noslēgtajā finanšu līzinga līgumā atbalsta saņēmējs paredz pēc minētā līguma termiņa beigām izpirkt saskaņā ar projektu iegādātos aktīvus.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19</w:t>
      </w:r>
      <w:r w:rsidR="00000000" w:rsidRPr="00000000" w:rsidDel="00000000">
        <w:rPr>
          <w:rtl w:val="0"/>
        </w:rPr>
        <w:t xml:space="preserve"> Iegūstot šo noteikumu 39.2. apakšpunktā minēto galaproduktu saskaņā ar Komisijas regulas Nr. 651/2014 14. panta 14. punktu, atbalsta pretendents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Šo noteikumu 43.</w:t>
      </w:r>
      <w:r w:rsidR="00000000" w:rsidRPr="00000000" w:rsidDel="00000000">
        <w:rPr>
          <w:vertAlign w:val="superscript"/>
          <w:rtl w:val="0"/>
        </w:rPr>
        <w:t xml:space="preserve">1</w:t>
      </w:r>
      <w:r w:rsidR="00000000" w:rsidRPr="00000000" w:rsidDel="00000000">
        <w:rPr>
          <w:rtl w:val="0"/>
        </w:rPr>
        <w:t xml:space="preserve"> punktā minētajos gadījumos ir attiecināmas projekta iesniegumu pamatojošās dokumentācijas izmaksas (būvniecības ieceres dokumenti, arī būvprojekts un citi dokumenti saskaņā ar normatīvajiem aktiem par būvniecību), tai skaitā arhitektu un inženieru pakalpojumi, honorāri,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21</w:t>
      </w:r>
      <w:r w:rsidR="00000000" w:rsidRPr="00000000" w:rsidDel="00000000">
        <w:rPr>
          <w:rtl w:val="0"/>
        </w:rPr>
        <w:t xml:space="preserve"> Šo noteikumu 43.</w:t>
      </w:r>
      <w:r w:rsidR="00000000" w:rsidRPr="00000000" w:rsidDel="00000000">
        <w:rPr>
          <w:vertAlign w:val="superscript"/>
          <w:rtl w:val="0"/>
        </w:rPr>
        <w:t xml:space="preserve">1</w:t>
      </w:r>
      <w:r w:rsidR="00000000" w:rsidRPr="00000000" w:rsidDel="00000000">
        <w:rPr>
          <w:rtl w:val="0"/>
        </w:rPr>
        <w:t xml:space="preserve"> punktā minētajos gadījumos atbalstāmās darbības atbalsta pretendents var uzsākt un šo noteikumu 43.</w:t>
      </w:r>
      <w:r w:rsidR="00000000" w:rsidRPr="00000000" w:rsidDel="00000000">
        <w:rPr>
          <w:vertAlign w:val="superscript"/>
          <w:rtl w:val="0"/>
        </w:rPr>
        <w:t xml:space="preserve">20</w:t>
      </w:r>
      <w:r w:rsidR="00000000" w:rsidRPr="00000000" w:rsidDel="00000000">
        <w:rPr>
          <w:rtl w:val="0"/>
        </w:rPr>
        <w:t xml:space="preserve"> punktā minētās izmaksas attiecināt pēc projekta iesnieguma iesniegšanas Lauku atbalsta dienestā, ievērojot Komisijas regulas Nr.  651/2014 6. panta 2. punktā minētos nosacījumus par stimulējošo ietekmi. Projekta īstenošanu uzsāk atbilstoši Komisijas regulas Nr. 651/2014 2. panta 23. punktam pēc projekta iesnieguma iesniegšanas.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 Šo noteikumu 43.</w:t>
      </w:r>
      <w:r w:rsidR="00000000" w:rsidRPr="00000000" w:rsidDel="00000000">
        <w:rPr>
          <w:vertAlign w:val="superscript"/>
          <w:rtl w:val="0"/>
        </w:rPr>
        <w:t xml:space="preserve">20</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1. 10 000 </w:t>
      </w:r>
      <w:r w:rsidR="00000000" w:rsidRPr="00000000" w:rsidDel="00000000">
        <w:rPr>
          <w:i w:val="1"/>
          <w:rtl w:val="0"/>
        </w:rPr>
        <w:t xml:space="preserve">euro</w:t>
      </w:r>
      <w:r w:rsidR="00000000" w:rsidRPr="00000000" w:rsidDel="00000000">
        <w:rPr>
          <w:rtl w:val="0"/>
        </w:rPr>
        <w:t xml:space="preserve"> šo noteikumu 38.2. un 38.3. apakšpunktā minēto atbalsta pretendentu iesniegtajiem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2. 30 000 </w:t>
      </w:r>
      <w:r w:rsidR="00000000" w:rsidRPr="00000000" w:rsidDel="00000000">
        <w:rPr>
          <w:i w:val="1"/>
          <w:rtl w:val="0"/>
        </w:rPr>
        <w:t xml:space="preserve">euro</w:t>
      </w:r>
      <w:r w:rsidR="00000000" w:rsidRPr="00000000" w:rsidDel="00000000">
        <w:rPr>
          <w:rtl w:val="0"/>
        </w:rPr>
        <w:t xml:space="preserve"> šo noteikumu 38.1. un 38.4. apakšpunktā minēto atbalsta pretendentu iesniegtajiem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23</w:t>
      </w:r>
      <w:r w:rsidR="00000000" w:rsidRPr="00000000" w:rsidDel="00000000">
        <w:rPr>
          <w:rtl w:val="0"/>
        </w:rPr>
        <w:t xml:space="preserve"> Šo noteikumu 43.</w:t>
      </w:r>
      <w:r w:rsidR="00000000" w:rsidRPr="00000000" w:rsidDel="00000000">
        <w:rPr>
          <w:vertAlign w:val="superscript"/>
          <w:rtl w:val="0"/>
        </w:rPr>
        <w:t xml:space="preserve">22</w:t>
      </w:r>
      <w:r w:rsidR="00000000" w:rsidRPr="00000000" w:rsidDel="00000000">
        <w:rPr>
          <w:rtl w:val="0"/>
        </w:rPr>
        <w:t xml:space="preserve">1. un 43.</w:t>
      </w:r>
      <w:r w:rsidR="00000000" w:rsidRPr="00000000" w:rsidDel="00000000">
        <w:rPr>
          <w:vertAlign w:val="superscript"/>
          <w:rtl w:val="0"/>
        </w:rPr>
        <w:t xml:space="preserve">22</w:t>
      </w:r>
      <w:r w:rsidR="00000000" w:rsidRPr="00000000" w:rsidDel="00000000">
        <w:rPr>
          <w:rtl w:val="0"/>
        </w:rPr>
        <w:t xml:space="preserve">2. apakšpunktā vienam projektam noteiktās izmaksas nav apvienojamas.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24</w:t>
      </w:r>
      <w:r w:rsidR="00000000" w:rsidRPr="00000000" w:rsidDel="00000000">
        <w:rPr>
          <w:rtl w:val="0"/>
        </w:rPr>
        <w:t xml:space="preserve"> Datums, kurā pieņemts Lauku atbalsta dienesta šo noteikumu 3. punktā minētais lēmums par projekta iesnieguma apstiprināšanu, uzskatāms par valsts atbalsta piešķiršanas dienu.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25</w:t>
      </w:r>
      <w:r w:rsidR="00000000" w:rsidRPr="00000000" w:rsidDel="00000000">
        <w:rPr>
          <w:rtl w:val="0"/>
        </w:rPr>
        <w:t xml:space="preserve"> Lēmumu par projekta iesnieguma apstiprināšanu saskaņā ar Komisijas regulu Nr. 651/2014 pieņem līdz 2023. gada 31.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26</w:t>
      </w:r>
      <w:r w:rsidR="00000000" w:rsidRPr="00000000" w:rsidDel="00000000">
        <w:rPr>
          <w:rtl w:val="0"/>
        </w:rPr>
        <w:t xml:space="preserve"> Ja tiek pārkāptas šajos noteikumos noteiktās komercdarbības atbalsta kontroles normas, tostarp nosacījumi, kas izriet no Komisijas regulas Nr. 651/2014, atbalsta saņēmējam ir pienākums atmaksāt Lauku atbalsta dienestam visu nelikumīgi saņemto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īstenojot šo noteikumu 1.1. apakšpunktā minētā apakšpasākuma projektu, kas paredz siltumnīcu būvniecību vai pārbūvi, maksimālais attiecināmo izmaksu apmērs  ir 3 000 000 </w:t>
      </w:r>
      <w:r w:rsidR="00000000" w:rsidRPr="00000000" w:rsidDel="00000000">
        <w:rPr>
          <w:i w:val="1"/>
          <w:rtl w:val="0"/>
        </w:rPr>
        <w:t xml:space="preserve">euro</w:t>
      </w:r>
      <w:r w:rsidR="00000000" w:rsidRPr="00000000" w:rsidDel="00000000">
        <w:rPr>
          <w:rtl w:val="0"/>
        </w:rPr>
        <w:t xml:space="preserve">. Minētajā attiecināmo izmaksu apmērā iekļauj šo noteikumu 52.1. apakšpunktā minētās attiecināmās izmaksas, nepārsniedzot šo noteikumu 52.1. apakšpunktā noteikto maksimālo apmēru, ja atbalsta pretendents īsteno arī tādus šo noteikumu 1.1. apakšpunktā minētā apakšpasākuma projektus, kuru izmaksas nav saistītas ar siltumnīcu būvniecību vai pārbūvi;".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Lai šo noteikumu 1. punktā minētajos apakšpasākumos noteiktu projekta iesnieguma sagatavošanas attiecināmās izmaksas un ar projekta sagatavošanu vai īstenošanu tieši saistītās attiecināmās izmaksas atbilstoši Regulas Nr. 1305/2013 45. panta 2. punktam un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67. panta 1. punkta "d" apakšpunktam un 5. punkta "a" apakšpunktam, Zemkopības ministrija izstrādā un publicē vienotās likmes aprēķina metodiku. Zemkopības ministrijas vienotās likmes aprēķina metodiku nepiemēro, ja atbalsta pretendents ir Publisko iepirkumu likuma 1. panta 19. punktā minētais pasūtītājs vai šo noteikumu 43.</w:t>
      </w:r>
      <w:r w:rsidR="00000000" w:rsidRPr="00000000" w:rsidDel="00000000">
        <w:rPr>
          <w:vertAlign w:val="superscript"/>
          <w:rtl w:val="0"/>
        </w:rPr>
        <w:t xml:space="preserve">1</w:t>
      </w:r>
      <w:r w:rsidR="00000000" w:rsidRPr="00000000" w:rsidDel="00000000">
        <w:rPr>
          <w:rtl w:val="0"/>
        </w:rPr>
        <w:t xml:space="preserve"> punktā minētajos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Ja projekta īstenošanas laikā saskaņā ar Centrālās statistikas pārvaldes datiem būvniecības izmaksu pieaugums pārsniedz piecus procentus salīdzinājumā ar ceturksni, kurā iesniegts projekta iesniegums, par attiecīgi pārsniegto procentu punktu apmēru pieļaujams palielināt šo noteikumu 12. pielikumā noteiktās maksimālās attiecināmās izmaksas, bet nepārsniedzot projektam apstiprināto kopējo attiecināmo izmaksu summu un nemainot projekta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66.1.5.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"66.1.5. sējumu, stādījumu kopšanas tehnika un iekārtas, arī mēslošanas un augu aizsardzības tehnika un iekārtas. Ja tiek iegādāts jauns miglotājs, smidzinātājs, minerālmēslu izkliedētājs vai kūtsmēslu iestrādes aprīkojums, tas atbilst šo noteikumu 2. pielikumā minētajiem klimata pārmaiņu mazināšanas un pielāgošanās ieguldījumiem un ir attiecīgi aprīkots, vai, ja to iegādājas mazā saimniecība vai dārzkopības saimniecība vidējā saimniecību grupā, tas ir manuāli regulējams smidzinātājs vai minerālmēslu izkliedētājs;".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66.1.25.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"66.1.25. lauksaimniecības kultūraugu ražas novākšanas tehnika un iekārtas, kā arī lopbarības sagatavošanas un novākšanas tehnika un iekārtas šo noteikumu 30.2. apakšpunktā minētajiem atbalsta pretendentiem ir attiecināmas, ja attiecīgā tehnika vai iekārtas tiek izmantotas pakalpojumu sniegšanai saviem biedriem un par tehnikas vienības izmantošanu ir noslēgts līgums vismaz ar 10 biedriem – lauksaimniecības produkcijas primārajiem ražotājiem –, līgumā paredzot, ka biedri līdz iesniedzamā projekta uzraudzības perioda beigām individuāli neiegādājas attiecīgu tehnikas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74.11.5.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"74.11.5. lauksaimniecības pakalpojumu atbilstīgas kooperatīvās sabiedrības biedra statusu apliecinošu dokumentu, ja atbalsta pretendents ir šādas sabiedrības biedrs;".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Saskaņā ar Regulas Nr. 1305/2013 49. pantu šo noteikumu 3., 3.</w:t>
      </w:r>
      <w:r w:rsidR="00000000" w:rsidRPr="00000000" w:rsidDel="00000000">
        <w:rPr>
          <w:vertAlign w:val="superscript"/>
          <w:rtl w:val="0"/>
        </w:rPr>
        <w:t xml:space="preserve">1</w:t>
      </w:r>
      <w:r w:rsidR="00000000" w:rsidRPr="00000000" w:rsidDel="00000000">
        <w:rPr>
          <w:rtl w:val="0"/>
        </w:rPr>
        <w:t xml:space="preserve">, 4., 5., 6. un 7. pielikumā minētos projektu atlases kritēriju punktus piešķir, ja atbalsta pretendents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 Šo noteikumu 11. pielikumā minēto papildu atbalsta intensitāti piemēro atbalsta pretendentam, kas projekta iesnieguma iesniegšanas brīdī ir bioloģiskā lauku saimniecība."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Šo noteikumu 1.1. apakšpunktā minētajā apakšpasākumā atbalsta saņēmējs, kas saņēmis projektu atlases kritēriju punktus par dalību atbilstīgā kooperatīvajā sabiedrībā saskaņā ar šo noteikumu 3. un 3.</w:t>
      </w:r>
      <w:r w:rsidR="00000000" w:rsidRPr="00000000" w:rsidDel="00000000">
        <w:rPr>
          <w:vertAlign w:val="superscript"/>
          <w:rtl w:val="0"/>
        </w:rPr>
        <w:t xml:space="preserve">1</w:t>
      </w:r>
      <w:r w:rsidR="00000000" w:rsidRPr="00000000" w:rsidDel="00000000">
        <w:rPr>
          <w:rtl w:val="0"/>
        </w:rPr>
        <w:t xml:space="preserve">  pielikumu, projekta īstenošanas laikā un līdz projekta uzraudzības beigām nodrošina, ka kooperatīvajai sabiedrībai realizētās produkcijas vērtība ir vismaz 50 procentu no pretendenta saražotās produkcijas vērtības attiecīgajā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87.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Lai saņemtu projektu atlases kritēriju punktus par projektā paredzētiem ieguldījumiem energoefektivitātes palielināšanā, šo noteikumu 1.1. un 1.2. apakšpunktā minētajā apakšpasākumā atbalsta pretendents Lauku atbalsta dienestā projekta iesnieguma iesniegšanas brīdī iesniedz arī šo noteikumu 74.9.2. apakšpunktā minēto sertificēta speciālista izsniegtu energoaudita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90.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Atbalsta saņēmējs, kurš īstenojis ieguldījumus atbilstoši šo noteikumu 12.3. apakšpunktam, attiecīgajā sistēmas pieslēgumā nodrošina saražotās alternatīvās enerģijas pašpatēriņu par gadu vismaz 80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Šo noteikumu 65.</w:t>
      </w:r>
      <w:r w:rsidR="00000000" w:rsidRPr="00000000" w:rsidDel="00000000">
        <w:rPr>
          <w:vertAlign w:val="superscript"/>
          <w:rtl w:val="0"/>
        </w:rPr>
        <w:t xml:space="preserve">1</w:t>
      </w:r>
      <w:r w:rsidR="00000000" w:rsidRPr="00000000" w:rsidDel="00000000">
        <w:rPr>
          <w:rtl w:val="0"/>
        </w:rPr>
        <w:t xml:space="preserve"> punkta prasību piemēro projektiem, kas Lauku atbalsta dienestā iesniegti pasākumā "Ieguldījumi materiālajos aktīvos" 2014.–2020. gada plānošanas perioda pārejas laikā 2021. un 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95.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Grozījumi šo noteikumu 2.2. apakšpunktā, 34.</w:t>
      </w:r>
      <w:r w:rsidR="00000000" w:rsidRPr="00000000" w:rsidDel="00000000">
        <w:rPr>
          <w:vertAlign w:val="superscript"/>
          <w:rtl w:val="0"/>
        </w:rPr>
        <w:t xml:space="preserve">1</w:t>
      </w:r>
      <w:r w:rsidR="00000000" w:rsidRPr="00000000" w:rsidDel="00000000">
        <w:rPr>
          <w:rtl w:val="0"/>
        </w:rPr>
        <w:t xml:space="preserve"> punktā, 52.2. apakšpunktā, 75. punktā un 3. un 11. pielikumā ir piemērojami projektu iesniegumiem, kas tiks iesniegti projektu iesniegumu pieņemšanas kārtās pēc šo grozījumu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noteikumu_(grozījumu)_projekts_22-TA-1709.docx</dc:title>
</cp:coreProperties>
</file>

<file path=docProps/custom.xml><?xml version="1.0" encoding="utf-8"?>
<Properties xmlns="http://schemas.openxmlformats.org/officeDocument/2006/custom-properties" xmlns:vt="http://schemas.openxmlformats.org/officeDocument/2006/docPropsVTypes"/>
</file>