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30.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776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Projektu atlases kritēriji pasākuma "Ieguldījumi materiālajos aktīvos" apakšpasākumā "Atbalsts ieguldījumiem lauku saimniecībās" vidējo (kopējais apgrozījums ir no 70 001 </w:t>
      </w:r>
      <w:r w:rsidR="00000000" w:rsidRPr="00000000" w:rsidDel="00000000">
        <w:rPr>
          <w:i w:val="1"/>
          <w:rtl w:val="0"/>
        </w:rPr>
        <w:t xml:space="preserve">euro</w:t>
      </w:r>
      <w:r w:rsidR="00000000" w:rsidRPr="00000000" w:rsidDel="00000000">
        <w:rPr>
          <w:b w:val="1"/>
          <w:rtl w:val="0"/>
        </w:rPr>
        <w:t xml:space="preserve"> līdz 350 000 </w:t>
      </w:r>
      <w:r w:rsidR="00000000" w:rsidRPr="00000000" w:rsidDel="00000000">
        <w:rPr>
          <w:i w:val="1"/>
          <w:rtl w:val="0"/>
        </w:rPr>
        <w:t xml:space="preserve">euro</w:t>
      </w:r>
      <w:r w:rsidR="00000000" w:rsidRPr="00000000" w:rsidDel="00000000">
        <w:rPr>
          <w:b w:val="1"/>
          <w:rtl w:val="0"/>
        </w:rPr>
        <w:t xml:space="preserve">) un lielo saimniecību grupai (kopējais apgrozījums ir vairāk nekā 350 000 </w:t>
      </w:r>
      <w:r w:rsidR="00000000" w:rsidRPr="00000000" w:rsidDel="00000000">
        <w:rPr>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1.1. apakšpunktā minētajā apakšpasākumā kopš 2014. gada.</w:t>
            </w:r>
            <w:r w:rsidR="00000000" w:rsidRPr="00000000" w:rsidDel="00000000">
              <w:rPr>
                <w:sz w:val="20"/>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sz w:val="20"/>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 (ja ieguldījumi īstenoti divos mērķos, no kuriem viens ir ieguldījumi energoefektivitātes palielināšanā vai atjaunojamās enerģijas ražošanai pašpatēriņam, tad kritērijā paredzētus punktus summē, nepārsniedzot 25 punktus)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minerālmēslu un AAL lietošanas samazinājumam, kā arī bezapvērses tehnoloģijās</w:t>
            </w:r>
            <w:r w:rsidR="00000000" w:rsidRPr="00000000" w:rsidDel="00000000">
              <w:rPr>
                <w:vertAlign w:val="superscript"/>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lopkopībā</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tiešai šķidrmēslu iestrādei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energoefektivitātes palielināšanā vai atjaunojamās enerģijas ražošanai pašpatēriņam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skaitu reizina ar attiecīgo izdevumu "energoefektivitātei vai atjaunojamās enerģijas ražošanai pašpatēriņam" proporciju no kopējiem projekta attaisnotajiem izdevumiem)</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attiecīgās nozares atbilstīgās kooperatīvās sabiedrības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attiecīgās nozares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tās tiek uzstādītas vienlaikus ar projekta attiecināmajās izmaksās iekļautiem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Šajā kritērijā tiek piešķirti punkti augkopības nozarē, ja projekta ieguldījumi saimniecībā nodrošina precīzo tehnoloģiju darbību (miglotāju, smidzinātāju, minerālmēslu izkliedētāju iegādi)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saistībā ar precīzo barošanu (projektā iegādātās investīcijas nodrošina to,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Kritēriju aprēķinā izmanto attiecināmās izmaksas "energoefektivitātes vai atjaunojamās enerģijas ražošanas pašpatēriņam mērķim". "Energoefektivitātes vai atjaunojamās enerģijas ražošanas pašpatēriņam" attiecināmajās izmaksās tiek ietvertas stacionāro energoefektīvo iekārtu izmaksas, ja tās tiek uzstādītas vienlaikus ar projekta attiecināmajās izmaksās iekļautajiem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izdevumu "energoefektivitātes vai atjaunojamās enerģijas ražošanas pašpatēriņam"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energoefektivitātes vai atjaunojamās enerģijas ražošanas pašpatēriņam mērķim paredzēti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Kooperatīvās sabiedrības darbības nozare ir saistīta ar projekta investīciju un pamatdarbības nozari, un kooperatīvā sabiedrība apņemas pildīt šo noteikumu 84. punktā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Kopprojektiem kritērijus aprēķina, ņemot vērā visus kopprojekta dalībnieku datus kopā. 2. punktā minētā kritērija punktus aprēķina katram kopprojekta dalībniekam atsevišķi, pēc tam tos summē un izdala ar kopprojekta dalībnieku skaitu.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noteikumu_(grozījumu)_projekts_p1_22-TA-1709.docx</dc:title>
</cp:coreProperties>
</file>

<file path=docProps/custom.xml><?xml version="1.0" encoding="utf-8"?>
<Properties xmlns="http://schemas.openxmlformats.org/officeDocument/2006/custom-properties" xmlns:vt="http://schemas.openxmlformats.org/officeDocument/2006/docPropsVTypes"/>
</file>