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2. jūnija noteikumos Nr. 279 "Ceļu satiksmes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Ceļu satiksmes likuma</w:t>
      </w:r>
      <w:r>
        <w:br/>
      </w:r>
      <w:r w:rsidR="00000000" w:rsidRPr="00000000" w:rsidDel="00000000">
        <w:rPr>
          <w:rStyle w:val="paragraph"/>
          <w:i w:val="1"/>
          <w:rtl w:val="0"/>
        </w:rPr>
        <w:t xml:space="preserve">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Izteikt Noteikumu 8.punktu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monoriteņus, skrituļslidas, skrituļdēļus u. tml. sporta vai atpūtas inventāru, atļauts, ja tas netraucē citus ceļu satiksmes dalībniekus. Šķērsot brauktuvi ar šādu inventāru atļauts ar ātrumu, kas nepārsniedz gājēju pārvietošanās ātrumu. Personai, kura pārvietojas, izmantojot monoriteņus, skrituļslidas, skrituļdēļus u. tml. sporta vai atpūtas inventāru, kas darbināmi ar elektrisko piedziņu, jābūt apdrošinātai personas civiltiesiskai atbildībai pret zaudējumiem, kas nodarīti trešajām personām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Noteikumu 44.1.apakšpunktu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“44.1. ar luksoforiem (1. pielikums), kuriem ir zaļas, dzeltenas, sarkanas un baltas gaismas signāli. Luksoforus izgatavo un uzstāda atbilstoši nozares standartiem;”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Aizstāt Noteikumu 46.apakšpunktā vārdus “Luksofora signāls ar cilvēka siluetu vai velosipēda simbolu” ar vārdiem “Luksofora signāls ar cilvēka siluetu un (vai) velosipēda simbolu“.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Noteikumus ar 50.1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 Pasažieru sabiedrisko transportlīdzekļu satiksmes regulēšanai var lietot luksoforus ar baltiem gaismas signāliem: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50.1.1.vertikālas vai slīpas strīpas signāls atļauj kustību strīpas vērsuma virzienā;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50.1.2. horizontālas strīpas signāls aizliedz kustību, izņemot šo noteikumu 54. punktā minētos gadījumus,  un brīdina par gaidāmo signāla maiņu;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50.1.3. simbola “S” signāls aizliedz kustību.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Pasažieru sabiedrisko transportlīdzekļu luksofors, kurš aprīkots ar attiecīgu papildzīmi vai speciālu baltas gaismas simbolu uz melna fona attiecas tikai uz konkrēto pasažieru sabiedriskā transportlīdzekļa veidu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Noteikumu 54.punktu pirmo teikumu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Ja, iedegoties luksofora dzeltenajam signālam vai signālam ar baltu horizontālu strīpu vai brīdī, kad satiksmes regulētājs paceļ roku augšā, transportlīdzekļa vadītājs transportlīdzekli šo noteikumu 53. punktā minētajās vietās var apturēt, tikai strauji bremzējot, šā transportlīdzekļa vadītājs drīkst ceļu turpināt, neapturot transportlīdzekli.“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Noteikumu 69.punktu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Ārpus krustojumiem, kur tramvaja sliežu ceļa klātne šķērso bezsliežu transportlīdzekļu brauktuvi, pasažieru sabiedriskajiem transportlīdzekļiem, kas brauc pa tramvaja sliežu klātni, ir priekšroka.”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Noteikumu 70.punkta pirmo teikumu aiz vārdiem “(409. ceļa zīme)” ar vārdiem: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kā arī sabiedriskajiem pasažieru transportlīdzekļiem, kas manevru veic no tramvaja sliežu ceļa klātnes”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Noteikumu 75.punktu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Ja transportlīdzekļa gabarītu, manevra veikšanai nepieciešamās telpas, ceļa platuma vai citu iemeslu dēļ nav iespējams nogriezties no attiecīgā malējā stāvokļa, ir atļautas atkāpes no šīs prasības un šo noteikumu 73. punktā noteiktās prasības, ja tas netraucē citu transportlīdzekļu kustību.”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Noteikumu 89.punkta otro teikumu izteikt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“Šādā gadījumā nedrīkst radīt traucējumus pasažieru sabiedriskajiem transportlīdzekļiem, kas brauc pa tramvaja sliežu klātni.”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Noteikumu 90.punktu ar a otro teikumu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“Šī prasība neattiecas uz pasažieru sabiedriskajiem transportlīdzekļiem.”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Noteikumu 98.punkta pirmo teikumu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 Pa ietvēm, gājēju ceļiem, velosipēdu ceļiem, gājēju un velosipēdu ceļiem, kopīgiem gājēju un velosipēdu ceļiem, kā arī velojoslām mehāniskajiem transportlīdzekļiem braukt aizliegts, izņemot ceļu uzturēšanas un komunālo dienestu (piemēram, elektroapgādes, siltumapgādes) transportlīdzekļus, ja tie veic ceļu uzturēšanas, remonta vai avārijas seku likvidēšanas darbus, transportlīdzekļus, kuru vadītāji vai pasažieri ir personas ar invaliditāti un kuriem ir speciāla pašvaldības izsniegta atļauja, kā arī specializētos tūristu transportlīdzekļus (izņemot pa ietvēm).”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Noteikumu 127.punktu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“127. Ja satiksmes regulētāja vai luksofora signāli atļauj braukt vienlaikus tramvajam un bezsliežu transportlīdzekļiem, priekšroka ir tramvajam un citiem pasažieru sabiedriskajiem transportlīdzekļiem, kas brauc pa tramvaja sliežu klātni, no tās nenobraucot.”</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Noteikumu 134.punktu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Vienādas nozīmes ceļu krustojumā, kā arī nevienādas nozīmes ceļu krustojumā, ja transportlīdzekļi atrodas uz savstarpēji vienādas nozīmes ceļa, pasažieru sabiedriskā transportlīdzekļa vadītājam, kas brauc pa tramvaja sliežu klātni, no tās nenobraucot, neatkarīgi no tā braukšanas virziena ir priekšroka attiecībā pret bezsliežu transportlīdzekļu vadītājiem.”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Noteikumu 136.punkta otro teikumu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“Šie noteikumi savstarpēji jāievēro arī pasažieru sabiedrisko transportlīdzekļu vadītājiem, kas brauc pa tramvaja sliežu klātni.”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Noteikumu 200.3.apakšpunktu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“200.3. braukt pa ietvi, ja braukšana pa brauktuvi, ņemot vērā ceļu satiksmes intensitāti, ceļa un meteoroloģiskos apstākļus, nav iespējama, ir apgrūtināta vai bīstama. Braucot pa ietvi vai kopīgo gājēju un velosipēdu ceļu, velosipēdu vadītājiem jāizvēlas tāds braukšanas ātrums, lai netiktu apdraudēti vai traucēti gājēji. Ja pastāv risks, ka velosipēdu vadītāji var apdraudēt vai traucēt gājējus, velosipēdu vadītājiem jābrauc ar ātrumu, kas nepārsniedz gājēju pārvietošanās ātrumu, vai jāaptur velosipēds. Gājējiem, pārvietojoties pa ietvi vai kopīgu gājēju un velosipēdu ceļu, ir priekšroka. Braucot pa ietvi vai kopīgo gājēju un velosipēdu ceļu vietās, kur velosipēdu vadītāju braukšanas trajektorijas krustojas ar pārējo transportlīdzekļu braukšanas trajektorijām, velosipēdu vadītājiem jānovērtē attālums līdz transportlīdzekļiem, kas tuvojas, kā arī jānovērtē to braukšanas ātrums un jāpārliecinās par drošību.”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Noteikumu 202.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“202. Velosipēdu vadītājiem jābrauc ar ātrumu, kas neapdraud ceļu satiksmes drošību. Velosipēdu vadītājiem atļauts šķērsot brauktuvi pa ietves vai nomales iedomāto turpinājumu, kā arī, netraucējot gājējus, – pa gājēju pārejām. Ja gājēju pārejas robežās, ko nosaka 535., 536. zīmes, ietverti 931. un 932. apzīmējumi, velosipēdu vadītājiem brauktuve jāšķērso pa velosatiksmei paredzēto gājēju pārejas daļu. Pirms brauktuves šķērsošanas velosipēdu vadītājiem laikus jāsamazina braukšanas ātrums un, ja tas nepieciešams ceļu satiksmes drošībai, jāaptur velosipēds. Šķērsojot brauktuvi pa ietves iedomāto turpinājumu, velosipēdu vadītājiem jābrauc ar ātrumu, kas nepārsniedz gājēju pārvietošanās ātrumu un jādod ceļš transportlīdzekļiem, kas brauc pa šķērsojamo ceļu.”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Noteikumu 212.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2 </w:t>
      </w:r>
      <w:r w:rsidR="00000000" w:rsidRPr="00000000" w:rsidDel="00000000">
        <w:rPr>
          <w:rtl w:val="0"/>
        </w:rPr>
        <w:t xml:space="preserve">Elektroskrejriteņu vadītājiem jābrauc ar ātrumu, kas neapdraud ceļu satiksmes drošību. Elektroskrejriteņu vadītājiem atļauts šķērsot brauktuvi pa ietves vai nomales iedomāto turpinājumu, kā arī, netraucējot gājējus, – pa gājēju pārejām. Ja gājēju pārejas robežās, ko nosaka 535., 536. zīmes, ietverti 931. un 932. apzīmējumi, elektroskrejriteņu vadītājiem brauktuve jāšķērso pa  gājēju pārejas daļu, kas paredzēta braukšanai ar velosipēdu. Pirms brauktuves šķērsošanas elektroskrejriteņu vadītājiem laikus jāsamazina braukšanas ātrums un, ja tas nepieciešams ceļu satiksmes drošībai, jāaptur elektroskrejritenis. Šķērsojot brauktuvi pa ietves iedomāto turpinājumu, elektroskrejriteņu vadītājiem jābrauc ar ātrumu, kas nepārsniedz gājēju pārvietošanās ātrumu, un jādod ceļš transportlīdzekļiem, kas brauc pa šķērsojamo ceļu.”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Noteikumu 212.</w:t>
      </w:r>
      <w:r w:rsidR="00000000" w:rsidRPr="00000000" w:rsidDel="00000000">
        <w:rPr>
          <w:vertAlign w:val="superscript"/>
          <w:rtl w:val="0"/>
        </w:rPr>
        <w:t xml:space="preserve">1</w:t>
      </w:r>
      <w:r w:rsidR="00000000" w:rsidRPr="00000000" w:rsidDel="00000000">
        <w:rPr>
          <w:rtl w:val="0"/>
        </w:rPr>
        <w:t xml:space="preserve"> 3.apakšpunktu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3. braukt pa ietvi vai kopīgo gājēju un velosipēdu ceļu. Braucot pa ietvi vai kopīgo gājēju un velosipēdu ceļu, elektroskrejriteņu braukšanas ātrums nedrīkst pārsniegt 15 km/h, pie tam vadītājiem jāizvēlas tāds braukšanas ātrums, lai netiktu apdraudēti vai traucēti gājēji un, ja nepieciešams, jābrauc ar ātrumu, kas nepārsniedz gājēju pārvietošanās ātrumu. Elektroskrejriteņu vadītāji nedrīkst apdraudēt vai traucēt gājējus. Gājējiem, pārvietojoties pa ietvi vai kopīgo gājēju un velosipēdu ceļu, ir priekšroka. Braucot pa ietvi vai kopīgo gājēju un velosipēdu ceļu vietās, kur elektroskrejriteņu vadītāju braukšanas trajektorijas krustojas ar pārējo transportlīdzekļu braukšanas trajektorijām, elektroskrejriteņu vadītājiem jānovērtē attālums līdz transportlīdzekļiem, kas tuvojas, kā arī jānovērtē to braukšanas ātrums un jāpārliecinās par drošību;”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Noteikumu 246.3. apakšpunktā vārdus “vecumā līdz 18 gadiem”.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Noteikumus ar 266.7.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“266.7. apsardzes mobilā norīkojuma transportlīdzekļa, kas ieradies uz trauksmes izsaukumu apsargājamā objektā, stāvēšana pie šī objekta līdz trauksmes stāvokļa novēršanai.”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Noteikumus ar 270.5.punktu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“270.5. 315., 316. zīmes neattiecas uz pasažieru sabiedriskajiem transportlīdzekļiem.”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Noteikumu 276.11., 276.12. un 276.13.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“276.11. 513. zīme "Braukšanas virzieni joslās". Joslu skaits un no tām noteiktie braukšanas virzieni krustojumā. Uz 513. zīmes var būt norādīta informācija par ceļu satiksmes ierobežojumiem krustojumā. Ja kādā no virzieniem zīmē iekļauts 505. zīmes simbola ieliktnis, šajā virzienā atļauts braukt arī taksometriem, elektromobiļiem, divriteņu mopēdiem un motocikliem. 513. zīme, kas atļauj nogriezties pa kreisi no kreisās malējās braukšanas joslas, atļauj no šīs joslas apgriezties arī braukšanai pretējā virzienā. 513. zīmes darbība attiecas uz visu krustojumu, pirms kura zīme uzstādīta, ja cita 513., 514., 515., 516., 517. vai 518. zīme, kas uzstādīta krustojumā, nedod citus norādījumus;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276.12. 514., 515. un 516. zīme "Braukšanas virziens joslā". No joslas noteiktais braukšanas virziens krustojumā. Uz 514., 515. un 516. zīmes var būt norādīta informācija par ceļu satiksmes ierobežojumiem krustojumā. Ja kādā no virzieniem zīmē iekļauts 505. zīmes simbola ieliktnis, šajā virzienā atļauts braukt arī taksometriem, elektromobiļiem, divriteņu mopēdiem un motocikliem. 516. zīme atļauj nogriezties pa kreisi no kreisās malējās braukšanas joslas un atļauj no šīs joslas apgriezties arī braukšanai pretējā virzienā (var tikt lietota 514., 515. un 516. zīme ar bultu konfigurāciju, kas atbilst noteiktajiem braukšanas virzieniem krustojumā). 514., 515. un 516. zīmes darbība attiecas uz visu krustojumu, pirms kura zīme uzstādīta, ja cita 513., 514., 515., 516., 517. vai 518. zīme, kas uzstādīta krustojumā, nedod citus norādījumus;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276.13. 517. un 518. zīme "Braukšanas virzieni joslā". No joslas noteiktie braukšanas virzieni krustojumā. Uz 517. un 518. zīmes var būt norādīta informācija par ceļu satiksmes ierobežojumiem krustojumā. Ja kādā no virzieniem zīmē iekļauts 505. zīmes simbola ieliktnis, šajā virzienā atļauts braukt arī taksometriem, elektromobiļiem, divriteņu mopēdiem un motocikliem. 518. zīme, kas atļauj nogriezties pa kreisi no kreisās malējās braukšanas joslas, atļauj no šīs joslas apgriezties arī braukšanai pretējā virzienā (var tikt lietota 517. un 518. zīme ar bultu konfigurāciju, kas atbilst noteiktajiem braukšanas virzieniem krustojumā). 517. un 518. zīmes darbība attiecas uz visu krustojumu, pirms kura zīme uzstādīta, ja cita 513., 514., 515., 516., 517. vai 518. zīme, kas uzstādīta krustojumā, nedod citus norādījumus;”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Noteikumu 285.27.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“285.27. 849. papildzīme "Pārējā papildinformācija". Norāda informāciju, ko nesatur pārējās papildzīmes;”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Noteikumu 283.16.punktā un 4. pielikumā mainīt 724. zīmes "Satiksmes ierobežojumi Latvijā" attēlu, ietverot sekojošu zīmes 724. zīmes "Satiksmes ierobežojumi Latvijā" attēlu: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Noteikumu 290.2.apakšpunktu ar otro teikumu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“Šis ceļa apzīmējums neattiecas uz pasažieru sabiedriskajiem transportlīdzekļiem, kas brauc pa tramvaja sliežu klātni.”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Papildināt Noteikumu 290.3.apakšpunktu ar otro teikumu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“906. un 907. ceļa apzīmējums neattiecas uz pasažieru sabiedriskajiem transportlīdzekļiem kas brauc pa tramvaja sliežu klātni.”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Papildināt Noteikumu 28. nodaļu “Noslēguma jautājumi” ar 300.punktu šāda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“Līdz pasažieru sabiedrisko transportlīdzekļu luksoforu nomaiņai, bet ne vēlāk kā līdz 2028. gada 1. janvārim, atļauts lietot luksoforus ar baltiem gaismas signāliem, kas izvietoti "T" burta veidā. Šo noteikumu 50.punkts ir spēkā līdz 2028. gada 1.janvārim. Šo noteikumu 501. punkts stājas spēkā no 2026. gada 1.janvāra.”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Noteikumu 1.pielikumu “Ceļu satiksmes regulēšanas luksofori” ar sekojošiem jauniem sabiedriskā transporta (tikai) regulēšanas luksoforu paraugiem: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25-TA-1583</w:t>
    </w:r>
    <w:r>
      <w:br/>
    </w:r>
    <w:r w:rsidR="00000000" w:rsidRPr="00000000" w:rsidDel="00000000">
      <w:rPr>
        <w:rtl w:val="0"/>
      </w:rPr>
      <w:t xml:space="preserve">Izdrukāts 29.07.2026. 22.50 - 1.0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25-TA-1583</w:t>
    </w:r>
    <w:r>
      <w:br/>
    </w:r>
    <w:r w:rsidR="00000000" w:rsidRPr="00000000" w:rsidDel="00000000">
      <w:rPr>
        <w:rtl w:val="0"/>
      </w:rPr>
      <w:t xml:space="preserve">Izdrukāts 29.07.2026. 22.50 - 1.0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noteikumu_(grozījumu)_projekts_25-TA-1583.docx</dc:title>
</cp:coreProperties>
</file>

<file path=docProps/custom.xml><?xml version="1.0" encoding="utf-8"?>
<Properties xmlns="http://schemas.openxmlformats.org/officeDocument/2006/custom-properties" xmlns:vt="http://schemas.openxmlformats.org/officeDocument/2006/docPropsVTypes"/>
</file>