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Ekspluatējamu ēku energoefektivitātes minimālās prasības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Ēku energoefektivitātes likuma</w:t>
      </w:r>
      <w:r>
        <w:br/>
      </w:r>
      <w:r w:rsidR="00000000" w:rsidRPr="00000000" w:rsidDel="00000000">
        <w:rPr>
          <w:rStyle w:val="paragraph"/>
          <w:i w:val="1"/>
          <w:rtl w:val="0"/>
        </w:rPr>
        <w:t xml:space="preserve">4.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minimālās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ekspluatējamas ēkas (turpmāk – ēka) enerģijas patēriņa līmenim un primārās enerģijas patēriņa līmenim;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inženiertehnisko sistēmu automatizācijas un vadības sistēmu funkcionalitātei, telpu mikroklimatu pašregulējošu ierīču uzstādīšanai, ēkā patērētā energonesēja vai enerģijas uzskaitei;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elektrotransportlīdzekļu uzlādes punktu ierīkošanai ēkā.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 uzskatāma par atbilstošu enerģijas patēriņa līmeņa un primārās enerģijas patēriņa līmeņa minimālajām prasībām, ja tās energoefektivitātes klases rādītājs saskaņā ar normatīvajiem aktiem ēku energosertifikācijas jomā atbilst E klasei vai augstākai klasei.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atbilstību enerģijas patēriņa līmenim nosaka vienā no šādiem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ēkas energosertifikāciju normatīvajos aktos par ēku energosertifikāciju paredzētajā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vidējo siltumenerģijas patēriņu pēdējos trijos kalendāra gados, ņemot vērā ēkas references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28.01.2025. noteikumiem Nr. 68)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atbilstību primārās enerģijas patēriņa līmenim nosaka vienā no šādiem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ēkas energosertifikāciju normatīvajos aktos par ēku energosertifikāciju paredzētajā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vidējo ēkas energoresursu patēriņu pēdējos trijos kalendāra gados un šo patēriņu reizina ar primārās enerģijas faktoriem katram energonesējam. Primārās enerģijas faktorus nosaka atbilstoši normatīvajiem aktiem par ēkas energoefektivitātes aprēķina metodēm, un vidējo ēkas energoresursu patēriņu attiecina, ņemot vērā ēkas references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28.01.2025. noteikumiem Nr. 68)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Daudzdzīvokļu dzīvojamā mājā un nedzīvojamā ēkā patērēto siltumenerģiju uzskaita atsevišķi katrai dzīvojamo un nedzīvojamo telpu grupai, izmantojot šādus uzskaites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patērētās siltumenerģijas uzskaitē izmanto attālināti nolasāmus individuālus siltumenerģijas patēriņa skaitītājus, ja tas ir tehniski iespējams un ekonomiski pamatoti. Individuālie siltumenerģijas skaitītāji atbilst metroloģiskajām prasībām, kas noteiktas normatīvajos aktos par mērījumu vienotību;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individuālu skaitītāju izmantošana nav tehniski iespējama vai nav ekonomiski pamatota, siltumenerģijas patēriņa mērīšanai izmanto attālināti nolasāmus individuālus siltuma maksas sadalītājus, ar kuriem mēra siltumenerģijas patēriņu katrā radiatorā. Individuālie siltuma maksas sadalītāji atbilst prasībām, kas noteiktas standartā LVS EN 834+AC:2021 "Siltuma maksas sadalītāji dzīvokļa apsildes radiatoriem. Ierīces ar elektroenerģijas avotu";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individuālu siltuma maksas sadalītāju uzstādīšana katram sildelementam nav tehniski iespējama vai nav ekonomiski pamatota, izmanto  attālināti nolasāmu siltumenerģijas patēriņa noteikšanas sistēmu, izmantojot tiešsaistē periodiski fiksētus siltumnesēja caurplūdes un apkures cauruļvadu virsmu temperatūras datus (turpmāk – siltumenerģijas patēriņa noteikšanas sistēma), ja tas ir tehniski iespējams  un ekonomiski pamatoti. Siltumenerģijas patēriņa noteikšanas sistēma atbilst dzīvojamās mājas īpašnieku un normatīvajā aktā par radioiekārtu atbilstības novērtēšanu, piedāvāšanu tirgū, uzstādīšanu, lietošanu un uzraudzību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Daudzdzīvokļu dzīvojamā mājā un nedzīvojamā ēkā uzstāda individuālos skaitītājus, kas mēra mājsaimniecības karstā ūdens patēriņu katrā ēkas vienībā, izņemot gadījumu, ja to uzstādīšana nav tehniski iespējama vai nav ekonomiski pamatota attiecībā pret potenciālo enerģijas ietaupījumu. Šādu individuālo skaitītāju uzstādīšanas tehnisko un ekonomisko pamatojumu izvērtē ēkas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 jauna uzstādītie individuālie skaitītāji, kas mēra mājsaimniecības karstā ūdens patēriņu katrā ēkas vienībā, ir attālināti nolasāmi.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 punkts stājas spēkā 12.10.2025., sk. 15.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Individuālu siltumenerģijas patēriņa skaitītāju daudzdzīvokļu dzīvojamās mājas telpu grupā uzstāda, ja ir tehniski iespējams ar vienu skaitītāju uzskaitīt visā telpu grupā patērēto siltumenerģiju.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Individuālu siltuma maksas sadalītāju, individuālu siltumenerģijas patēriņa skaitītāju un siltumenerģijas patēriņa noteikšanas sistēmas uzstādīšanas ekonomisko pamatojumu izvērtē dzīvojamās mājas pārvaldītājs atbilstoši individuālu siltuma maksas sadalītāju uzstādīšanas ekonomiskā pamatojuma aprēķināšanas metodikai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individuālu siltumenerģijas patēriņa skaitītāju uzstādīšanas ekonomiskā pamatojuma aprēķināšanas metodikai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siltumenerģijas patēriņa noteikšanas sistēmas uzstādīšanas ekonomiskā pamatojuma aprēķināšanas metodikai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Individuālu siltuma maksas sadalītāju, individuālu siltumenerģijas patēriņa skaitītāju vai siltumenerģijas patēriņa noteikšanas sistēmas uzstādīšana ir ekonomiski pamatota, ja, piemērojot Valsts kases tīmekļvietnē publicēto pēdējā pieejamā ceturkšņa attiecīgo diskonta likmi ilgtermiņa ieguldījumu patiesās vērtības noteikšanai saimnieciskās darbības veidam "Nekustamais īpašums (vispārīgi)", neto tagadnes vērtība 10 gadu atmaksāšanās periodam ir pozitīva.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Attālināti nolasāmu individuālu siltuma maksas sadalītāju, attālināti nolasāmu individuālu siltumenerģijas patēriņa skaitītāju un siltumenerģijas patēriņa noteikšanas sistēmas uzstādīšanas tehnisko iespējamību un ekonomisko pamatojumu atkārtoti izvērtē pēc tam, kad daudzdzīvokļu dzīvojamā mājā un nedzīvojamā ēkā, kurā individuāli siltuma maksas sadalītāji, individuāli siltumenerģijas patēriņa skaitītāji vai siltumenerģijas patēriņa noteikšanas sistēma nav uzstādīta, ir veikta apkures sistēmas atjaunošana vai pārbūve.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tas ir tehniski piemēroti, ekonomiski un funkcionāli īstenojami, tad nedzīvojamas ēkas tiek aprīkotas ar pašregulējošām ierīcēm gaisa temperatūras, relatīvā gaisa mitruma un gaisa apmaiņas (cirkulācijas) plūsmas ātruma atsevišķai regulēšanai katrā telpā (vides kvalitātes monitoringa sistēma) vai, ja tas ir pamatoti, telpu grupā, ja tiek mainīta ēkas apkures sistēmas daļa, kas ražo siltumenerģiju (siltumģenerators).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Nedzīvojamām ēkām, ja tas ir tehniski piemēroti, ekonomiski un funkcionāli īstenojami, nodrošina automātisku apgaismojuma vadības ierīču uzstādīšanu.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noteiktās prasības attiecībā uz automātisku apgaismojuma vadības ierīču uzstādīšanu nedzīvojamās ēkās izpilda sākot no 2027. gada 31. decembra attiecībā uz ēkām, kuru apkures sistēmas, gaisa kondicionēšanas sistēmas, kombinētās telpu apkures un ventilācijas sistēmas vai kombinētās gaisa kondicionēšanas un ventilācijas sistēmas lietderīgā nominālā jauda pārsniedz 290 kilovatus, un no 2029. gada 31. decembra attiecībā uz ēkām, kuru minēto sistēmu lietderīgā nominālā jauda pārsniedz 70 kilovatus.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Publiskās personas iestādes ēkās nodrošina piemērotu saules enerģijas iekārtu uzstādīšanu, ja tas ir tehniski piemēroti, ekonomiski un funkcionāli īstenojami.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noteikto pienākumu publiskās personas iestādes ēkās nodrošināt piemērotu saules enerģijas iekārtu uzstādīšanu izpilda līdz 2027. gada 31. decembrim attiecībā uz ēkām, kuru lietderīgā grīdas platība pārsniedz 2000 m</w:t>
      </w:r>
      <w:r w:rsidR="00000000" w:rsidRPr="00000000" w:rsidDel="00000000">
        <w:rPr>
          <w:vertAlign w:val="superscript"/>
          <w:rtl w:val="0"/>
        </w:rPr>
        <w:t xml:space="preserve">2</w:t>
      </w:r>
      <w:r w:rsidR="00000000" w:rsidRPr="00000000" w:rsidDel="00000000">
        <w:rPr>
          <w:rtl w:val="0"/>
        </w:rPr>
        <w:t xml:space="preserve">, līdz 2028. gada 31. decembrim – attiecībā uz ēkām, kuru lietderīgā grīdas platība pārsniedz 750 m</w:t>
      </w:r>
      <w:r w:rsidR="00000000" w:rsidRPr="00000000" w:rsidDel="00000000">
        <w:rPr>
          <w:vertAlign w:val="superscript"/>
          <w:rtl w:val="0"/>
        </w:rPr>
        <w:t xml:space="preserve">2</w:t>
      </w:r>
      <w:r w:rsidR="00000000" w:rsidRPr="00000000" w:rsidDel="00000000">
        <w:rPr>
          <w:rtl w:val="0"/>
        </w:rPr>
        <w:t xml:space="preserve">, un līdz 2030. gada 31. decembrim – attiecībā uz ēkām, kuru lietderīgā grīdas platība pārsniedz 250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Ēkas automatizācijas un vadības sistēma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pastāvīgi uzraudzīt, reģistrēt, analizēt un koriģēt ēkas enerģijas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salīdzināt un novērtēt ēkas energoefektivitāti, atklāt ēkas inženiertehniskās sistēmas efektivitātes zudumus un informēt ēkas pārvaldītāju par ēkas energoefektivitātes uzlabošanas iespējām;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tiešsaisti ar ēkas inženiertehnisko sistēmu un spēju veikt funkcijas neatkarīgi no inženiertehniskās sistēmas sastāvdaļu ražotāja;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vides kvalitātes monitoringu.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Līdz 2027. gada 1. janvārim nedzīvojamā ēkā ar vairāk nekā 20 autostāvvietām ierīko: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vienu elektrotransportlīdzekļu uzlādes punktu uz 10 autostāvvietām vai ierīko kabeļkanālus vismaz 50 % automašīnu stāvvietām;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velosipēdu stāvvietas, kas veido vismaz 15 % no ēkas vidējās lietotāju kapacitātes vai 10 % no kopējās lietotāju kapacitātes, paredzot vietu arī lielāka izmēra velosipēdiem nekā standarta velosipēdi.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 </w:t>
      </w:r>
      <w:r w:rsidR="00000000" w:rsidRPr="00000000" w:rsidDel="00000000">
        <w:rPr>
          <w:rtl w:val="0"/>
        </w:rPr>
        <w:t xml:space="preserve">apakšpunktā</w:t>
      </w:r>
      <w:r w:rsidR="00000000" w:rsidRPr="00000000" w:rsidDel="00000000">
        <w:rPr>
          <w:rtl w:val="0"/>
        </w:rPr>
        <w:t xml:space="preserve"> noteiktā prasība par vietu skaitu velosipēdu stāvvietā neattiecas uz tām nedzīvojamām ēkām, kurām parasti ar velosipēdu nepiekļūst.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Līdz 2033. gada 1. janvārim nedzīvojamā ēkā, kas ir publiskās personas iestādes īpašumā, ierīko kabeļus vismaz 50 % automašīnu stāvvietām.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5., 6., 7., 8., 9., 10. un 11. punkts stājas spēkā 2021. gada 1. 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Individuālajiem siltuma maksas sadalītājiem un individuālajiem siltumenerģijas patēriņa skaitītājiem, kas uzstādīti pirms 2021. gada 1. janvāra un nav attālināti nolasāmi, līdz 2027. gada 1. janvārim nodrošina attālinātu nolasāmību vai tos aizstāj ar attālināti nolasāmiem individuāliem siltuma maksas sadalītājiem, individuāliem siltumenerģijas patēriņa skaitītājiem vai siltumenerģijas patēriņa noteikšanas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punkts</w:t>
      </w:r>
      <w:r w:rsidR="00000000" w:rsidRPr="00000000" w:rsidDel="00000000">
        <w:rPr>
          <w:rtl w:val="0"/>
        </w:rPr>
        <w:t xml:space="preserve"> stājas spēkā 2025. gada 12.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Individuāliem skaitītājiem, kas mēra mājsaimniecības karstā ūdens patēriņu katrā ēkas vienībā, kas ir uzstādīti pirms 2025. gada 12. oktobra un nav attālināti nolasāmi, līdz 2027. gada 1. janvārim nodrošina attālinātu nolasāmību vai tos aizstāj ar attālināti nolasāmiem, ja tas ir ekonomiski pamatoti.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 </w:t>
      </w:r>
      <w:r w:rsidR="00000000" w:rsidRPr="00000000" w:rsidDel="00000000">
        <w:rPr>
          <w:rtl w:val="0"/>
        </w:rPr>
        <w:t xml:space="preserve">punktu</w:t>
      </w:r>
      <w:r w:rsidR="00000000" w:rsidRPr="00000000" w:rsidDel="00000000">
        <w:rPr>
          <w:rtl w:val="0"/>
        </w:rPr>
        <w:t xml:space="preserve"> nepiemēro līdz 2029. gada 1. janvārim attiecībā uz nedzīvojamajām ēkām, kas ir atjaunotas no 2022. gada 28. maija līdz 2024. gada 28. maijam.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28.01.2025. noteikumiem Nr. 68)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2010. gada 19. maija Direktīvas </w:t>
      </w:r>
      <w:r w:rsidR="00000000" w:rsidRPr="00000000" w:rsidDel="00000000">
        <w:rPr>
          <w:rtl w:val="0"/>
        </w:rPr>
        <w:t xml:space="preserve">2010/31/ES</w:t>
      </w:r>
      <w:r w:rsidR="00000000" w:rsidRPr="00000000" w:rsidDel="00000000">
        <w:rPr>
          <w:rtl w:val="0"/>
        </w:rPr>
        <w:t xml:space="preserve"> par ēku energoefektivitāti;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w:t>
      </w:r>
      <w:r w:rsidR="00000000" w:rsidRPr="00000000" w:rsidDel="00000000">
        <w:rPr>
          <w:rtl w:val="0"/>
        </w:rPr>
        <w:t xml:space="preserve">2009/125/EK</w:t>
      </w:r>
      <w:r w:rsidR="00000000" w:rsidRPr="00000000" w:rsidDel="00000000">
        <w:rPr>
          <w:rtl w:val="0"/>
        </w:rPr>
        <w:t xml:space="preserve"> un </w:t>
      </w:r>
      <w:r w:rsidR="00000000" w:rsidRPr="00000000" w:rsidDel="00000000">
        <w:rPr>
          <w:rtl w:val="0"/>
        </w:rPr>
        <w:t xml:space="preserve">2010/30/ES</w:t>
      </w:r>
      <w:r w:rsidR="00000000" w:rsidRPr="00000000" w:rsidDel="00000000">
        <w:rPr>
          <w:rtl w:val="0"/>
        </w:rPr>
        <w:t xml:space="preserve"> un atceļ Direktīvas </w:t>
      </w:r>
      <w:r w:rsidR="00000000" w:rsidRPr="00000000" w:rsidDel="00000000">
        <w:rPr>
          <w:rtl w:val="0"/>
        </w:rPr>
        <w:t xml:space="preserve">2004/8/EK</w:t>
      </w:r>
      <w:r w:rsidR="00000000" w:rsidRPr="00000000" w:rsidDel="00000000">
        <w:rPr>
          <w:rtl w:val="0"/>
        </w:rPr>
        <w:t xml:space="preserve"> un </w:t>
      </w:r>
      <w:r w:rsidR="00000000" w:rsidRPr="00000000" w:rsidDel="00000000">
        <w:rPr>
          <w:rtl w:val="0"/>
        </w:rPr>
        <w:t xml:space="preserve">2006/32/EK</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2018. gada 30. maija Direktīvas (ES) </w:t>
      </w:r>
      <w:r w:rsidR="00000000" w:rsidRPr="00000000" w:rsidDel="00000000">
        <w:rPr>
          <w:rtl w:val="0"/>
        </w:rPr>
        <w:t xml:space="preserve">2018/844</w:t>
      </w:r>
      <w:r w:rsidR="00000000" w:rsidRPr="00000000" w:rsidDel="00000000">
        <w:rPr>
          <w:rtl w:val="0"/>
        </w:rPr>
        <w:t xml:space="preserve">, ar ko groza Direktīvu </w:t>
      </w:r>
      <w:r w:rsidR="00000000" w:rsidRPr="00000000" w:rsidDel="00000000">
        <w:rPr>
          <w:rtl w:val="0"/>
        </w:rPr>
        <w:t xml:space="preserve">2010/31/ES</w:t>
      </w:r>
      <w:r w:rsidR="00000000" w:rsidRPr="00000000" w:rsidDel="00000000">
        <w:rPr>
          <w:rtl w:val="0"/>
        </w:rPr>
        <w:t xml:space="preserve"> par ēku energoefektivitāti un Direktīvu </w:t>
      </w:r>
      <w:r w:rsidR="00000000" w:rsidRPr="00000000" w:rsidDel="00000000">
        <w:rPr>
          <w:rtl w:val="0"/>
        </w:rPr>
        <w:t xml:space="preserve">2012/27/ES</w:t>
      </w:r>
      <w:r w:rsidR="00000000" w:rsidRPr="00000000" w:rsidDel="00000000">
        <w:rPr>
          <w:rtl w:val="0"/>
        </w:rPr>
        <w:t xml:space="preserve"> par energoefektivitāti;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2018. gada 11. decembra Direktīvas (ES) </w:t>
      </w:r>
      <w:r w:rsidR="00000000" w:rsidRPr="00000000" w:rsidDel="00000000">
        <w:rPr>
          <w:rtl w:val="0"/>
        </w:rPr>
        <w:t xml:space="preserve">2018/2002</w:t>
      </w:r>
      <w:r w:rsidR="00000000" w:rsidRPr="00000000" w:rsidDel="00000000">
        <w:rPr>
          <w:rtl w:val="0"/>
        </w:rPr>
        <w:t xml:space="preserve">, ar ko groza Direktīvu </w:t>
      </w:r>
      <w:r w:rsidR="00000000" w:rsidRPr="00000000" w:rsidDel="00000000">
        <w:rPr>
          <w:rtl w:val="0"/>
        </w:rPr>
        <w:t xml:space="preserve">2012/27/ES</w:t>
      </w:r>
      <w:r w:rsidR="00000000" w:rsidRPr="00000000" w:rsidDel="00000000">
        <w:rPr>
          <w:rtl w:val="0"/>
        </w:rPr>
        <w:t xml:space="preserve"> par energoefektivitāti;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2023. gada 13. septembra Direktīvas (ES) </w:t>
      </w:r>
      <w:r w:rsidR="00000000" w:rsidRPr="00000000" w:rsidDel="00000000">
        <w:rPr>
          <w:rtl w:val="0"/>
        </w:rPr>
        <w:t xml:space="preserve">2023/1791</w:t>
      </w:r>
      <w:r w:rsidR="00000000" w:rsidRPr="00000000" w:rsidDel="00000000">
        <w:rPr>
          <w:rtl w:val="0"/>
        </w:rPr>
        <w:t xml:space="preserve"> par energoefektivitāti un ar ko groza Regulu (ES) 2023/955 (pārstrādātā redakcija).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2024. gada 24. aprīļa Direktīvas (ES) 2024/1275 par ēku energosniegumu (pārstrādāta redakcija).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26-TA-329</w:t>
    </w:r>
    <w:r>
      <w:br/>
    </w:r>
    <w:r w:rsidR="00000000" w:rsidRPr="00000000" w:rsidDel="00000000">
      <w:rPr>
        <w:rtl w:val="0"/>
      </w:rPr>
      <w:t xml:space="preserve">Izdrukāts 29.07.2026. 23.56 - 2.0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26-TA-329</w:t>
    </w:r>
    <w:r>
      <w:br/>
    </w:r>
    <w:r w:rsidR="00000000" w:rsidRPr="00000000" w:rsidDel="00000000">
      <w:rPr>
        <w:rtl w:val="0"/>
      </w:rPr>
      <w:t xml:space="preserve">Izdrukāts 29.07.2026. 23.56 - 2.0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noteikumu_konsolidētā_versija_26-TA-329.docx</dc:title>
</cp:coreProperties>
</file>

<file path=docProps/custom.xml><?xml version="1.0" encoding="utf-8"?>
<Properties xmlns="http://schemas.openxmlformats.org/officeDocument/2006/custom-properties" xmlns:vt="http://schemas.openxmlformats.org/officeDocument/2006/docPropsVTypes"/>
</file>