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Siltumenerģijas patēriņa noteikšanas sistēmas uzstādīšanas ekonomiskā pamatojuma aprēķināšanas metodika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28.01.2025. noteikumu Nr. 68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Kopējās siltumenerģijas patēriņa noteikšanas sistēmas, kas izmanto tiešsaistē periodiski fiksētus siltumnesēja caurplūdes un apkures cauruļvadu virsmu temperatūras datus (turpmāk –  siltumenerģijas patēriņa noteikšanas sistēma), un tās darbībai nepieciešamo iekārtu uzstādīšanas un apkures sistēmas pielāgošanas izmaksas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800600" cy="34290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800600" cy="34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</w:t>
      </w:r>
      <w:r w:rsidR="00000000" w:rsidRPr="00000000" w:rsidDel="00000000">
        <w:rPr>
          <w:rtl w:val="0"/>
        </w:rPr>
        <w:t xml:space="preserve"> 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sens.uzst.</w:t>
      </w:r>
      <w:r w:rsidR="00000000" w:rsidRPr="00000000" w:rsidDel="00000000">
        <w:rPr>
          <w:rtl w:val="0"/>
        </w:rPr>
        <w:t xml:space="preserve"> – apkures cauruļvadu virsmu temperatūras devēju (sensori ar radiomoduļiem) un to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pl.sk.uzst.</w:t>
      </w:r>
      <w:r w:rsidR="00000000" w:rsidRPr="00000000" w:rsidDel="00000000">
        <w:rPr>
          <w:rtl w:val="0"/>
        </w:rPr>
        <w:t xml:space="preserve"> –  siltumenerģijas patēriņa noteikšanas sistēmas iekārtas (siltumnesēja caurplūdes apjoma noteikšanai) un tās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ēkas apkures stāvvada loku;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apkures stāvvadu loku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termoregulatoru un apvadcauruļu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par vienu sildelementu vai vairāku virknē saslēgtu sildelementu grupu;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pap.reg.</w:t>
      </w:r>
      <w:r w:rsidR="00000000" w:rsidRPr="00000000" w:rsidDel="00000000">
        <w:rPr>
          <w:rtl w:val="0"/>
        </w:rPr>
        <w:t xml:space="preserve"> – atsevišķu sildelementu un/vai virknē saslēgtu sildelementu grupu skaits, kam jāuzstāda termoregulators vai apvadcaurules;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iek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darbības nodrošināšanai nepieciešamo iekārtu (datu pārraidei tiešsaistē un datu uzglabāšanai) un to uzstādīšanas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apk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citas apkures sistēmas pielāgošanas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), kas nepieciešamas  siltumenerģijas patēriņa noteikšanas sistēmas darbības nodrošināšanai.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Kopējās  siltumenerģijas patēriņa noteikšanas sistēmas iekārtu ekspluatācijas izmaksas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85900" cy="23812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85900" cy="2381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kopējās  siltumenerģijas patēriņa noteikšanas sistēmas iekārtu ekspluatācijas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sist.ekspl. </w:t>
      </w:r>
      <w:r w:rsidR="00000000" w:rsidRPr="00000000" w:rsidDel="00000000">
        <w:rPr>
          <w:rtl w:val="0"/>
        </w:rPr>
        <w:t xml:space="preserve">–  siltumenerģijas patēriņa noteikšanas sistēmas iekārtu ekspluatācijas izmaksas par apkures stāvvada vienu segmentu mēnesī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– kopējais apkures stāvvadu segmentu skaits ēkā;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 –  siltumenerģijas patēriņa noteikšanas sistēmas iekārtu apkalpošanas reizes apkures 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Patērētās siltumenerģijas izmaksas apkures nodrošināšanai gadā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933449" cy="190500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933449" cy="190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 apkures nodrošināšanai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ēkai</w:t>
      </w:r>
      <w:r w:rsidR="00000000" w:rsidRPr="00000000" w:rsidDel="00000000">
        <w:rPr>
          <w:rtl w:val="0"/>
        </w:rPr>
        <w:t xml:space="preserve"> – ēkas apkurei patērētās siltumenerģijas daudzums (MWh) gadā;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/MWh), ieskaitot pievienotās vērtības nodokli (PVN).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Neto naudas plūsma iekārtu uzstādīšanas gadā ir vienāda ar kopējām  siltumenerģijas patēriņa noteikšanas sistēmas un tās darbībai nepieciešamo iekārtu uzstādīšanas izmaksām: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876300" cy="2095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8763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kop.uzst. </w:t>
      </w:r>
      <w:r w:rsidR="00000000" w:rsidRPr="00000000" w:rsidDel="00000000">
        <w:rPr>
          <w:rtl w:val="0"/>
        </w:rPr>
        <w:t xml:space="preserve">– kopējās iekārtu uzstādīšanas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Ikgadējās  siltumenerģijas patēriņa noteikšanas sistēmas uzturēšanas neto naudas plūsmas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600200" cy="209550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600200" cy="209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rtl w:val="0"/>
        </w:rPr>
        <w:t xml:space="preserve"> – ikgadējā  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patērētās siltumenerģijas izmaksas apkures nodrošināšanai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ener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pieņemtais enerģijas ietaupījums, uzstādot  siltumenerģijas patēriņa noteikšanas sistēmu atbilstoši ēkas izmantotās siltumenerģijas patēriņam (%). Ja ēkas apkurei izmantotās siltumenerģijas patēriņš ir līdz 100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pieņemtais enerģijas ietaupījums, uzstādot  siltumenerģijas patēriņa noteikšanas sistēmu, ir 10 %, ja patēriņš ir no 100 kWh/m2 līdz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15 %, bet, ja patēriņš ir lielāks par 150 kWh/m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 gadā, – 20 %;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</w:t>
      </w:r>
      <w:r w:rsidR="00000000" w:rsidRPr="00000000" w:rsidDel="00000000">
        <w:rPr>
          <w:vertAlign w:val="subscript"/>
          <w:rtl w:val="0"/>
        </w:rPr>
        <w:t xml:space="preserve">ikg</w:t>
      </w:r>
      <w:r w:rsidR="00000000" w:rsidRPr="00000000" w:rsidDel="00000000">
        <w:rPr>
          <w:vertAlign w:val="subscript"/>
          <w:rtl w:val="0"/>
        </w:rPr>
        <w:t xml:space="preserve">.</w:t>
      </w:r>
      <w:r w:rsidR="00000000" w:rsidRPr="00000000" w:rsidDel="00000000">
        <w:rPr>
          <w:rtl w:val="0"/>
        </w:rPr>
        <w:t xml:space="preserve"> – kopējās  siltumenerģijas patēriņa noteikšanas sistēmas iekārtu ekspluatācijas izmaksas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 Siltumenerģijas patēriņa noteikšanas sistēmas uzstādīšanas un uzturēšanas investīciju neto tagadnes vērtību 10 gadu atmaksāšanās periodam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2752725" cy="304800"/>
            <wp:effectExtent t="0" b="0" r="0" l="0"/>
            <wp:docPr id="14" name="media/image14.PNG"/>
            <a:graphic>
              <a:graphicData uri="http://schemas.openxmlformats.org/drawingml/2006/picture">
                <pic:pic>
                  <pic:nvPicPr>
                    <pic:cNvPr id="14" name="media/image14.PNG"/>
                    <pic:cNvPicPr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ext cx="2752725" cy="30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, 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reāl</w:t>
      </w:r>
      <w:r w:rsidR="00000000" w:rsidRPr="00000000" w:rsidDel="00000000">
        <w:rPr>
          <w:vertAlign w:val="subscript"/>
          <w:rtl w:val="0"/>
        </w:rPr>
        <w:t xml:space="preserve">. </w:t>
      </w:r>
      <w:r w:rsidR="00000000" w:rsidRPr="00000000" w:rsidDel="00000000">
        <w:rPr>
          <w:rtl w:val="0"/>
        </w:rPr>
        <w:t xml:space="preserve">–  siltumenerģijas patēriņa noteikšanas sistēmas uzstādīšanas un uzturēšanas investīciju neto tagadnes vērtība 10 gadu atmaksāšanās periodam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0</w:t>
      </w:r>
      <w:r w:rsidR="00000000" w:rsidRPr="00000000" w:rsidDel="00000000">
        <w:rPr>
          <w:rtl w:val="0"/>
        </w:rPr>
        <w:t xml:space="preserve"> – neto naudas plūsma iekārtu uzstādīšanas gadā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Δ</w:t>
      </w:r>
      <w:r w:rsidR="00000000" w:rsidRPr="00000000" w:rsidDel="00000000">
        <w:rPr>
          <w:vertAlign w:val="subscript"/>
          <w:rtl w:val="0"/>
        </w:rPr>
        <w:t xml:space="preserve">n</w:t>
      </w:r>
      <w:r w:rsidR="00000000" w:rsidRPr="00000000" w:rsidDel="00000000">
        <w:rPr>
          <w:vertAlign w:val="subscript"/>
          <w:rtl w:val="0"/>
        </w:rPr>
        <w:t xml:space="preserve"> </w:t>
      </w:r>
      <w:r w:rsidR="00000000" w:rsidRPr="00000000" w:rsidDel="00000000">
        <w:rPr>
          <w:rtl w:val="0"/>
        </w:rPr>
        <w:t xml:space="preserve">– ikgadējā siltumenerģijas patēriņa noteikšanas sistēmas uzturēšanas neto naudas plūsma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 – diskonta likme.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26-TA-329</w:t>
    </w:r>
    <w:r>
      <w:br/>
    </w:r>
    <w:r w:rsidR="00000000" w:rsidRPr="00000000" w:rsidDel="00000000">
      <w:rPr>
        <w:rtl w:val="0"/>
      </w:rPr>
      <w:t xml:space="preserve">Izdrukāts 29.07.2026. 23.56 - 2.0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Relationship Target="media/image14.PNG" Type="http://schemas.openxmlformats.org/officeDocument/2006/relationships/image" Id="rId14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noteikumu_konsolidētā_versija_p3_26-TA-329.docx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