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3. decembra noteikumos Nr. 775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3. decembra noteikumos Nr. 775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 (Latvijas Vēstnesis, 2024, 240.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 tas plānotajās aktivitātēs iesaista vismaz vienu komersantu vai pētniecības un zināšanu izplatīšanas organizāciju no Latvijas statistiskā reģiona, kas nav Rīga;".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 ne vairāk kā 25 % no tā dalībniekiem (neskaitot pētniecības un zināšanu izplatīšanas organizācijas) veic pamatdarbību Saimniecisko darbību statistiskās klasifikācijas Eiropas Kopienā 2.1. redakcijas (turpmāk – NACE 2.1. red.) G sekcijas "Vairumtirdzniecība un mazumtirdzniecība" 46. nodaļā "Vairumtirdzniecība" un 47. nodaļā "Mazumtirdzniecība" minētajās nozarēs;".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27.2.4.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27.2.5.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"27.2.5. šo noteikumu 27.1.4., 27.1.5., 27.1.6., 27.1.7., 27.1.9., 27.1.10. un 27.1.11. apakšpunktā minētās izmaksas, ja atbalsts tiek sniegts atsevišķam sadarbības tīkla dalībniekam;".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Šo noteikumu 27.1.4., 27.1.5., 27.1.6., 27.1.7., 27.1.8., 27.1.9., 27.1.10., 27.1.11. un 27.1.12. apakšpunktā minētās sadarbības tīkla izmaksas var tikt ieskaitītas sadarbības tīkla dalībnieka </w:t>
      </w:r>
      <w:r w:rsidR="00000000" w:rsidRPr="00000000" w:rsidDel="00000000">
        <w:rPr>
          <w:i w:val="1"/>
          <w:rtl w:val="0"/>
        </w:rPr>
        <w:t xml:space="preserve">de minimis </w:t>
      </w:r>
      <w:r w:rsidR="00000000" w:rsidRPr="00000000" w:rsidDel="00000000">
        <w:rPr>
          <w:rtl w:val="0"/>
        </w:rPr>
        <w:t xml:space="preserve">atbalsta apmērā, ja ir izpildīti visi šie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 sadarbības tīkls sniedz atbalstu sadarbības tīkla dalībniekam (vienam vai vairākiem);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 sadarbības tīkla dalībnieks rakstiski saskaņo izmaksu attiecināšanu."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Maksimāli pieļaujamā sadarbības tīkla publiskā finansējuma atbalsta intensitāte ir 85 %. Maksimāli pieļaujamā sadarbības tīkla dalībnieku publiskā finansējuma atbalsta intensitāte ir 60 %, izņemot šo noteikumu 65. 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56.2.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ieroču un munīcijas tirdzniecībai (NACE 2.1. red. klase 47.63 "Sporta aprīkojuma mazumtirdzniecība");".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"56.3. azartspēlēm un derībām (NACE 2.1.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"56.4. tabakas izstrādājumu ražošanai un tirdzniecībai (NACE 2.1. red. 12. nodaļa "Tabakas izstrādājumu ražošana", klase 46.35 "Tabakas izstrādājumu vairumtirdzniecība", klase 47.26 "Tabakas izstrādājumu mazumtirdzniecība"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"56.5. alkohola tirdzniecībai (NACE 2.1. red. klase 46.34 "Dzērienu vairumtirdzniecība", klase 47.25 "Dzērienu mazumtirdzniecība"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"56.6. operācijām ar nekustamo īpašumu (NACE 2.1. red. M sadaļa "Operācijas ar nekustamo īpašumu", grupa 68.1 "Operācijas ar savu nekustamo īpašumu un būvniecības projektu attīstīšana", klase 68.31 "Starpniecības pakalpojumi operācijās ar nekustamo īpašumu" un klase 68.32 "Citas operācijas ar nekustamo īpašumu uz līguma pamata vai par atlīdzību");".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"56.7. atkritumu apstrādei un izvietošanai (NACE 2.1. red. grupa 38.3 "Atkritumu likvidēšana bez resursu atgūšanas")."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25-TA-163</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25-TA-163</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noteikumu_(grozījumu)_projekts_25-TA-163.docx</dc:title>
</cp:coreProperties>
</file>

<file path=docProps/custom.xml><?xml version="1.0" encoding="utf-8"?>
<Properties xmlns="http://schemas.openxmlformats.org/officeDocument/2006/custom-properties" xmlns:vt="http://schemas.openxmlformats.org/officeDocument/2006/docPropsVTypes"/>
</file>