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 uzraudzības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 iesaistītās institūcijas, to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nodrošināt profesionālās rehabilitācijas pakalpojuma sniegšanu personām ar funkcionāliem traucējumiem un izveidot kompetenču attīstības centru, lai nodrošinātu mācības neformālajiem aprūpētājiem darbam ar personām ar funkcionāliem traucējumiem.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neformālie aprūpētāji un Sociālās integrācijas valsts aģentūras (turpmāk – aģentūra) speciālisti, kuri nodrošina neformālo aprūpētāju mācības.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ietvaros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martam – pieņemts profesionālās rehabilitācijas pakalpojuma apraksts;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martam – ēku infrastruktūras pielāgošana, tostarp, vides piekļūstamības un energoefektivitātes veicināšana, kā arī tehniskā un materiālā aprīkojuma uzlabošana;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30. jūnijam – ir izveidots un apstiprināts jauns sociālās un profesionālās rehabilitācijas pakalpojumu standarts, lai veicinātu cilvēku ar funkcionāliem traucējumiem drošumspēju;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rādītājs – līdz 2023. gada 30. jūnijam ekspertu grupa ir izstrādājusi jaunu metodiku saistībā ar kompetenču centru;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rādītāji – līdz 2026. gada 30. jūnijam: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primārās enerģijas patēriņa ietaupījums;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vai apmācības dalībnieku skaits.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Atskaites punktu, uzraudzības rādītāja un kopējo rādītāju sasniegšanu apliecina šāds dokumentu un informācijas kopums, kas iesniegts Kohēzijas politikas fondu vadības informācijas sistēmā (turpmāk – vadības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4.1.1.</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konsultatīvās padomes (turpmāk – padome) pieņemtā un aģentūras apstiprinātā profesionālās rehabilitācijas pakalpojuma apraksts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izraksts no profesionālās rehabilitācijas pakalpojuma apraksta attiecīgajām daļām;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apliecinājums (kopija) par darbu pabeigšanu divās ēkās ar uzlabotu infrastruktūru un tehnisko un materiālo aprīkojumu, kas izdots saskaņā ar Latvijas Republikas normatīvo regulējumu;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īss apraksts par veiktajiem infrastruktūras pielāgošanas darbiem  un to veidiem un piegādāto tehnisko un materiālo aprīkojumu;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novērtēšanas sertifikāti pirms un pēc aģentūras ēku atjaunošanas, pārbūves vai pielāgošanas, lai palielinātu ēku energoefektivitāti, veicot fasādes, sienu, jumta un stāvu siltināšanas darbus;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4.1.3.</w:t>
      </w:r>
      <w:r w:rsidR="00000000" w:rsidRPr="00000000" w:rsidDel="00000000">
        <w:rPr>
          <w:rtl w:val="0"/>
        </w:rPr>
        <w:t xml:space="preserve"> apakšpunktā</w:t>
      </w:r>
      <w:r w:rsidR="00000000" w:rsidRPr="00000000" w:rsidDel="00000000">
        <w:rPr>
          <w:rtl w:val="0"/>
        </w:rPr>
        <w:t xml:space="preserve"> minētā atskaites punkta sasniegšanai: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padomes pieņemtā un aģentūras apstiprinātā profesionālās rehabilitācijas pakalpojuma standarts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kopijas, kas pamato kompetenču attīstības programmas (metodika profesionāļu kompetenču attīstībai darbam ar neformālajiem aprūpētājiem un kompetenču attīstības mācības programmas (moduļi) neformālajiem aprūpētājiem darbam ar personām ar funkcionāliem traucējumiem) izstrādi;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padomes lēmuma protokols (kopija), ar kuru ir apstiprināti izmēģinājuma projekta rezultāti un pieņemti pakalpojumi pēc to aprobācijas;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minētā uzraudzības rādītāja sasniegšanai – aģentūras padomes lēmuma protokols (kopija), ar kuru pieņemta izstrādātā metodika, lai apmācītu  neformālos aprūpētājus darbam ar personām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4.3.1.</w:t>
      </w:r>
      <w:r w:rsidR="00000000" w:rsidRPr="00000000" w:rsidDel="00000000">
        <w:rPr>
          <w:rtl w:val="0"/>
        </w:rPr>
        <w:t xml:space="preserve"> apakšpunktā</w:t>
      </w:r>
      <w:r w:rsidR="00000000" w:rsidRPr="00000000" w:rsidDel="00000000">
        <w:rPr>
          <w:rtl w:val="0"/>
        </w:rPr>
        <w:t xml:space="preserve"> minētā kopējā rādītāja izpildi apliecina šo noteikumu </w:t>
      </w:r>
      <w:r w:rsidR="00000000" w:rsidRPr="00000000" w:rsidDel="00000000">
        <w:rPr>
          <w:rtl w:val="0"/>
        </w:rPr>
        <w:t xml:space="preserve">5.2.3.</w:t>
      </w:r>
      <w:r w:rsidR="00000000" w:rsidRPr="00000000" w:rsidDel="00000000">
        <w:rPr>
          <w:rtl w:val="0"/>
        </w:rPr>
        <w:t xml:space="preserve"> apakšpunktā</w:t>
      </w:r>
      <w:r w:rsidR="00000000" w:rsidRPr="00000000" w:rsidDel="00000000">
        <w:rPr>
          <w:rtl w:val="0"/>
        </w:rPr>
        <w:t xml:space="preserve"> minētā dokumentācija;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4.3.2.</w:t>
      </w:r>
      <w:r w:rsidR="00000000" w:rsidRPr="00000000" w:rsidDel="00000000">
        <w:rPr>
          <w:rtl w:val="0"/>
        </w:rPr>
        <w:t xml:space="preserve"> apakšpunktā</w:t>
      </w:r>
      <w:r w:rsidR="00000000" w:rsidRPr="00000000" w:rsidDel="00000000">
        <w:rPr>
          <w:rtl w:val="0"/>
        </w:rPr>
        <w:t xml:space="preserve"> minētā kopējā rādītāja izpildi apliecina finansējuma saņēmēja anonimizēts šo noteikumu </w:t>
      </w:r>
      <w:r w:rsidR="00000000" w:rsidRPr="00000000" w:rsidDel="00000000">
        <w:rPr>
          <w:rtl w:val="0"/>
        </w:rPr>
        <w:t xml:space="preserve">10.1.3.</w:t>
      </w:r>
      <w:r w:rsidR="00000000" w:rsidRPr="00000000" w:rsidDel="00000000">
        <w:rPr>
          <w:rtl w:val="0"/>
        </w:rPr>
        <w:t xml:space="preserve"> un </w:t>
      </w:r>
      <w:r w:rsidR="00000000" w:rsidRPr="00000000" w:rsidDel="00000000">
        <w:rPr>
          <w:rtl w:val="0"/>
        </w:rPr>
        <w:t xml:space="preserve">10.2.6.</w:t>
      </w:r>
      <w:r w:rsidR="00000000" w:rsidRPr="00000000" w:rsidDel="00000000">
        <w:rPr>
          <w:rtl w:val="0"/>
        </w:rPr>
        <w:t xml:space="preserve"> apakšpunktā</w:t>
      </w:r>
      <w:r w:rsidR="00000000" w:rsidRPr="00000000" w:rsidDel="00000000">
        <w:rPr>
          <w:rtl w:val="0"/>
        </w:rPr>
        <w:t xml:space="preserve"> minētā izmēģinājuma projekta dalībnieku saraksts, kuri piedalījušies izglītības vai mācību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Atveseļošanas fonda finansējums ir 6 500 000</w:t>
      </w:r>
      <w:r w:rsidR="00000000" w:rsidRPr="00000000" w:rsidDel="00000000">
        <w:rPr>
          <w:i w:val="1"/>
          <w:rtl w:val="0"/>
        </w:rPr>
        <w:t xml:space="preserve"> euro.</w:t>
      </w:r>
      <w:r w:rsidR="00000000" w:rsidRPr="00000000" w:rsidDel="00000000">
        <w:rPr>
          <w:rtl w:val="0"/>
        </w:rPr>
        <w:t xml:space="preserve"> Papildus investīcijas finansējumu veido valsts budžeta finansējums pievienotās vērtības nodokļa segšanai indikatīvi 1 255 262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pārvaldību atbildīgā nozares ministrija ir Labklājības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finansējuma saņēmējs ir aģentūra – valsts pārvaldes iestāde, kas veicina personu ar invaliditāti un personu ar funkcionāliem traucējumiem integrāciju sabiedrībā un darba tirgū. Investīcijas ietvaros aģentūra īsteno projektu, balstoties uz nozares ministrijas izdotu pārvaldes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projekta īstenošanai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rehabilitācijas pakalpojuma sistēmas pilnveide: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Dubultu prospektā 71, Jūrmalā, pirmā un centrālā korpusa pārbūve un atjaunošana, tai skaitā projektēšana, būvekspertīze, būvuzraudzība, autoruzraudzība;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rehabilitācijas pakalpojumu apraksta izstrāde;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rehabilitācijas pakalpojuma sniegšanas izmēģinājuma projekta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rehabilitācijas pakalpojuma sniegšanas izmēģinājuma projekta rezultātu novērtēšana un profesionālās rehabilitācijas pakalpojuma standarta apstiprināšana;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kompetenču attīstības centra izveide un darbības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ēkas Slokas ielā 61, Jūrmalā, pirmā un trešā korpusa atjaunošana un pārbūve, tai skaitā projektēšana, būvekspertīze, būvuzraudzība, autoruzraudzība;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tehnoloģiskā aprīkojuma un materiāli tehnisko līdzekļu iegāde kompetenču centra telpu, tai skaitā universālā dizaina demonstrāciju telpas, iekārtošanai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mikroautobusa iegāde un aprīkošana ar tehnoloģijām un materiāltehniskajiem līdzekļiem mobilās darba stacijas izveidei un mācību nodrošināšanai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minētajām mērķa grupas personām un profesionālās rehabilitācijas pakalpojuma nodrošināšanai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minētajām mērķa grupas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metodikas un kompetenču attīstības programmas (moduļu) izstrāde, lai apmācītu  neformālos aprūpētājus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aģentūras speciālistu apmācības, kuri nodrošina neformālo aprūpētāju mācības darbam ar personām ar funkcionāliem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kompetenču attīstības programmas (moduļu) darbam ar personām ar funkcionālajiem traucējumiem izmēģinājuma projekta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kompetenču attīstības programmas (moduļu) darbam ar personām ar funkcionālajiem traucējumiem izmēģinājuma projekta rezultātu novērtēšana un metodikas apstiprināšana;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projektā var paredzēt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izmaksas,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saskaņā ar Valsts un pašvaldību institūciju amatpersonu un darbinieku atlīdzības likumu, kas radušās uz darba līguma vai rīkojuma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paredzēto veselības pārbaužu izmaksas, ja tās nav iekļautas šo noteikumu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apdrošināšanas izmaksas normatīvajos aktos noteiktajā apmērā finansējuma saņēmēja projekta vadības un īstenošanas personālam, ja personāls ir nodarbināts normālu darba laiku. Ja personāls ir nodarbināts nepilnu darba laiku, veselības apdrošināšanas izmaksas nosakāmas atbilstoši nepilna darba laika noslodzei. Veselības apdrošināšanas izmaksas ir attiecināmas tikai laikposmā, kad personāls ir nodarbināts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w:t>
      </w:r>
      <w:r w:rsidR="00000000" w:rsidRPr="00000000" w:rsidDel="00000000">
        <w:rPr>
          <w:rtl w:val="0"/>
        </w:rPr>
        <w:t xml:space="preserve">10.1.4.</w:t>
      </w:r>
      <w:r w:rsidR="00000000" w:rsidRPr="00000000" w:rsidDel="00000000">
        <w:rPr>
          <w:rtl w:val="0"/>
        </w:rPr>
        <w:t xml:space="preserve">, </w:t>
      </w:r>
      <w:r w:rsidR="00000000" w:rsidRPr="00000000" w:rsidDel="00000000">
        <w:rPr>
          <w:rtl w:val="0"/>
        </w:rPr>
        <w:t xml:space="preserve">10.2.1.</w:t>
      </w:r>
      <w:r w:rsidR="00000000" w:rsidRPr="00000000" w:rsidDel="00000000">
        <w:rPr>
          <w:rtl w:val="0"/>
        </w:rPr>
        <w:t xml:space="preserve">, </w:t>
      </w:r>
      <w:r w:rsidR="00000000" w:rsidRPr="00000000" w:rsidDel="00000000">
        <w:rPr>
          <w:rtl w:val="0"/>
        </w:rPr>
        <w:t xml:space="preserve">10.2.2.</w:t>
      </w:r>
      <w:r w:rsidR="00000000" w:rsidRPr="00000000" w:rsidDel="00000000">
        <w:rPr>
          <w:rtl w:val="0"/>
        </w:rPr>
        <w:t xml:space="preserve">, </w:t>
      </w:r>
      <w:r w:rsidR="00000000" w:rsidRPr="00000000" w:rsidDel="00000000">
        <w:rPr>
          <w:rtl w:val="0"/>
        </w:rPr>
        <w:t xml:space="preserve">10.2.3.</w:t>
      </w:r>
      <w:r w:rsidR="00000000" w:rsidRPr="00000000" w:rsidDel="00000000">
        <w:rPr>
          <w:rtl w:val="0"/>
        </w:rPr>
        <w:t xml:space="preserve">, </w:t>
      </w:r>
      <w:r w:rsidR="00000000" w:rsidRPr="00000000" w:rsidDel="00000000">
        <w:rPr>
          <w:rtl w:val="0"/>
        </w:rPr>
        <w:t xml:space="preserve">10.2.4.</w:t>
      </w:r>
      <w:r w:rsidR="00000000" w:rsidRPr="00000000" w:rsidDel="00000000">
        <w:rPr>
          <w:rtl w:val="0"/>
        </w:rPr>
        <w:t xml:space="preserve"> un </w:t>
      </w:r>
      <w:r w:rsidR="00000000" w:rsidRPr="00000000" w:rsidDel="00000000">
        <w:rPr>
          <w:rtl w:val="0"/>
        </w:rPr>
        <w:t xml:space="preserve">10.2.5.</w:t>
      </w:r>
      <w:r w:rsidR="00000000" w:rsidRPr="00000000" w:rsidDel="00000000">
        <w:rPr>
          <w:rtl w:val="0"/>
        </w:rPr>
        <w:t xml:space="preserve"> apakšpunktā</w:t>
      </w:r>
      <w:r w:rsidR="00000000" w:rsidRPr="00000000" w:rsidDel="00000000">
        <w:rPr>
          <w:rtl w:val="0"/>
        </w:rPr>
        <w:t xml:space="preserve"> minēto atbalstāmo darbību īstenošanai, kā arī šo noteikumu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w:t>
      </w:r>
      <w:r w:rsidR="00000000" w:rsidRPr="00000000" w:rsidDel="00000000">
        <w:rPr>
          <w:rtl w:val="0"/>
        </w:rPr>
        <w:t xml:space="preserve"> apakšpunktā</w:t>
      </w:r>
      <w:r w:rsidR="00000000" w:rsidRPr="00000000" w:rsidDel="00000000">
        <w:rPr>
          <w:rtl w:val="0"/>
        </w:rPr>
        <w:t xml:space="preserve"> minēto atbalstāmo darbību īstenošanai tajos gadījumos, kad nepieciešams piesaistīt pakalpojuma sniedzēju;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10.1.3.</w:t>
      </w:r>
      <w:r w:rsidR="00000000" w:rsidRPr="00000000" w:rsidDel="00000000">
        <w:rPr>
          <w:rtl w:val="0"/>
        </w:rPr>
        <w:t xml:space="preserve"> apakšpunktā</w:t>
      </w:r>
      <w:r w:rsidR="00000000" w:rsidRPr="00000000" w:rsidDel="00000000">
        <w:rPr>
          <w:rtl w:val="0"/>
        </w:rPr>
        <w:t xml:space="preserve"> minētā profesionālās rehabilitācijas pakalpojuma sniegšanas izmēģinājuma projekta īstenošanas izmaksas, piemērojot nozares ministrijas izstrādātu vienības izmaksu metodiku profesionālās piemērotības noteikšanas, profesionālās rehabilitācijas, izmitināšanas un ēdināšanas pakalpojuma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10.2.6.</w:t>
      </w:r>
      <w:r w:rsidR="00000000" w:rsidRPr="00000000" w:rsidDel="00000000">
        <w:rPr>
          <w:rtl w:val="0"/>
        </w:rPr>
        <w:t xml:space="preserve"> apakšpunktā</w:t>
      </w:r>
      <w:r w:rsidR="00000000" w:rsidRPr="00000000" w:rsidDel="00000000">
        <w:rPr>
          <w:rtl w:val="0"/>
        </w:rPr>
        <w:t xml:space="preserve"> minētās kompetenču attīstības programmas (moduļu) izmēģinājuma projekta ēdināšanas un izmitināšanas pakalpojuma izmaksas, piemērojot nozares ministrijas izstrādātu vienības izmaksu metodiku profesionālās piemērotības noteikšanas, profesionālās rehabilitācijas, izmitināšanas un ēdināšanas pakalpojuma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projekta ietvaros izmaksas ir attiecināmas no Atveseļošanas fonda finansējuma, ja tās ir tieši saistītas 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atskaites punktu, uzraudzības rādītāja un kopējo rādītāju sasniegšanu,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atbalstāmo darbību īstenošanu un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minētajām izmaksu pozīcijām un ir radušās, sākot ar 2022. gada 1. janvāri.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projekta ietvaros Atveseļošanas fonda finansējums nesedz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atbalstāmo darbību izmaksas, kuru īstenošana pabeigta līdz 2021.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pievienotās vērtības nodokļa izmaksas. Šīs izmaksas ir iekļaujamas Atveseļošanas fonda finansētajā projektā, un tās finansējuma saņēmējs sedz no valsts budžeta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Aģentūras padome, kuras sastāvā ir valsts un pašvaldību, nevalstisko organizāciju un personu ar invaliditāti intereses pārstāvošo organizāciju pārstāvji, saskaņo: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10.1.2.</w:t>
      </w:r>
      <w:r w:rsidR="00000000" w:rsidRPr="00000000" w:rsidDel="00000000">
        <w:rPr>
          <w:rtl w:val="0"/>
        </w:rPr>
        <w:t xml:space="preserve"> apakšpunktā</w:t>
      </w:r>
      <w:r w:rsidR="00000000" w:rsidRPr="00000000" w:rsidDel="00000000">
        <w:rPr>
          <w:rtl w:val="0"/>
        </w:rPr>
        <w:t xml:space="preserve"> minēto profesionālās rehabilitācijas pakalpojuma aprakstu un šo noteikumu </w:t>
      </w:r>
      <w:r w:rsidR="00000000" w:rsidRPr="00000000" w:rsidDel="00000000">
        <w:rPr>
          <w:rtl w:val="0"/>
        </w:rPr>
        <w:t xml:space="preserve">10.1.4.</w:t>
      </w:r>
      <w:r w:rsidR="00000000" w:rsidRPr="00000000" w:rsidDel="00000000">
        <w:rPr>
          <w:rtl w:val="0"/>
        </w:rPr>
        <w:t xml:space="preserve"> apakšpunktā</w:t>
      </w:r>
      <w:r w:rsidR="00000000" w:rsidRPr="00000000" w:rsidDel="00000000">
        <w:rPr>
          <w:rtl w:val="0"/>
        </w:rPr>
        <w:t xml:space="preserve"> minēto profesionālās rehabilitācijas pakalpojumu standartu;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10.2.4.</w:t>
      </w:r>
      <w:r w:rsidR="00000000" w:rsidRPr="00000000" w:rsidDel="00000000">
        <w:rPr>
          <w:rtl w:val="0"/>
        </w:rPr>
        <w:t xml:space="preserve"> apakšpunktā</w:t>
      </w:r>
      <w:r w:rsidR="00000000" w:rsidRPr="00000000" w:rsidDel="00000000">
        <w:rPr>
          <w:rtl w:val="0"/>
        </w:rPr>
        <w:t xml:space="preserve"> minēto metodiku un kompetenču attīstības programmu (moduļus);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10.1.4.</w:t>
      </w:r>
      <w:r w:rsidR="00000000" w:rsidRPr="00000000" w:rsidDel="00000000">
        <w:rPr>
          <w:rtl w:val="0"/>
        </w:rPr>
        <w:t xml:space="preserve"> un </w:t>
      </w:r>
      <w:r w:rsidR="00000000" w:rsidRPr="00000000" w:rsidDel="00000000">
        <w:rPr>
          <w:rtl w:val="0"/>
        </w:rPr>
        <w:t xml:space="preserve">10.2.7.</w:t>
      </w:r>
      <w:r w:rsidR="00000000" w:rsidRPr="00000000" w:rsidDel="00000000">
        <w:rPr>
          <w:rtl w:val="0"/>
        </w:rPr>
        <w:t xml:space="preserve"> apakšpunktā</w:t>
      </w:r>
      <w:r w:rsidR="00000000" w:rsidRPr="00000000" w:rsidDel="00000000">
        <w:rPr>
          <w:rtl w:val="0"/>
        </w:rPr>
        <w:t xml:space="preserve"> minēto izmēģinājuma projektu rezultātus.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iepirkumu procedūru, nodrošina ēkas Dubultu prospektā 71, Jūrmalā, pirmā un centrālā korpusa zibens aizsardzības sistēmas izbūvi un energoefektivitātes paaugstināšanas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īstenošanai ieguldījumus infrastruktūrā finansējuma saņēmējs veic nekustamajā īpašumā, kas nostiprināts Valsts vienotajā Zemesgrāmatā uz valsts vārda nozares ministrijas personā un kas nodots lietošanā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10.2.4.</w:t>
      </w:r>
      <w:r w:rsidR="00000000" w:rsidRPr="00000000" w:rsidDel="00000000">
        <w:rPr>
          <w:rtl w:val="0"/>
        </w:rPr>
        <w:t xml:space="preserve">  un </w:t>
      </w:r>
      <w:r w:rsidR="00000000" w:rsidRPr="00000000" w:rsidDel="00000000">
        <w:rPr>
          <w:rtl w:val="0"/>
        </w:rPr>
        <w:t xml:space="preserve">10.2.5.</w:t>
      </w:r>
      <w:r w:rsidR="00000000" w:rsidRPr="00000000" w:rsidDel="00000000">
        <w:rPr>
          <w:rtl w:val="0"/>
        </w:rPr>
        <w:t xml:space="preserve"> apakšpunktā</w:t>
      </w:r>
      <w:r w:rsidR="00000000" w:rsidRPr="00000000" w:rsidDel="00000000">
        <w:rPr>
          <w:rtl w:val="0"/>
        </w:rPr>
        <w:t xml:space="preserve"> minētās atbalstāmās darbības ietvaros finansējuma saņēmējs, piesaistot nozares ekspertus šo noteikumu </w:t>
      </w:r>
      <w:r w:rsidR="00000000" w:rsidRPr="00000000" w:rsidDel="00000000">
        <w:rPr>
          <w:rtl w:val="0"/>
        </w:rPr>
        <w:t xml:space="preserve">20.5.</w:t>
      </w:r>
      <w:r w:rsidR="00000000" w:rsidRPr="00000000" w:rsidDel="00000000">
        <w:rPr>
          <w:rtl w:val="0"/>
        </w:rPr>
        <w:t xml:space="preserve"> apakšpunktā</w:t>
      </w:r>
      <w:r w:rsidR="00000000" w:rsidRPr="00000000" w:rsidDel="00000000">
        <w:rPr>
          <w:rtl w:val="0"/>
        </w:rPr>
        <w:t xml:space="preserve"> minētajā kārtībā, nodrošina metodikas izstrādi un aģentūras speciālistu mācības izstrādātās metodikas pielietošanai, lai nodrošinātu speciālistu profesionālās kompetences pilnveidi darbam ar neformālajiem aprūpētājiem.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Investīcijas projekta īstenošanai un uzraudzībai nepieciešamās informācijas iesniegšanu un uzkrāšanu finansējuma saņēmējs, nozares ministrija un Centrālā finanšu un līgumu aģentūra nodrošina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investīcijas projektu,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vai piesaista pakalpojuma sniedzēju šo noteikumu </w:t>
      </w:r>
      <w:r w:rsidR="00000000" w:rsidRPr="00000000" w:rsidDel="00000000">
        <w:rPr>
          <w:rtl w:val="0"/>
        </w:rPr>
        <w:t xml:space="preserve">20.5.</w:t>
      </w:r>
      <w:r w:rsidR="00000000" w:rsidRPr="00000000" w:rsidDel="00000000">
        <w:rPr>
          <w:rtl w:val="0"/>
        </w:rPr>
        <w:t xml:space="preserve"> apakšpunktā</w:t>
      </w:r>
      <w:r w:rsidR="00000000" w:rsidRPr="00000000" w:rsidDel="00000000">
        <w:rPr>
          <w:rtl w:val="0"/>
        </w:rPr>
        <w:t xml:space="preserve"> minētajā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nodrošina  informācijas un vides piekļūstamību, novērš atšķirīgas attieksmes risku personas vecuma, dzimuma, reliģiskās, politiskās vai citas pārliecības, seksuālās orientācijas, invaliditātes, rases vai etniskās piederības dēļ un ievēro vienlīdzīgu iespēju principu, kā arī nodrošina, ka tiks īstenoti pasākumi, kas sekmē darba un ģimenes dzīves saskaņošanu, paredzot attālināta darba un nepilna laika darba iespēju vecākiem ar bērniem, kā arī sievietēm un vīriešiem nodrošina vienādu samaksu par vienādas vērtības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10.4.</w:t>
      </w:r>
      <w:r w:rsidR="00000000" w:rsidRPr="00000000" w:rsidDel="00000000">
        <w:rPr>
          <w:rtl w:val="0"/>
        </w:rPr>
        <w:t xml:space="preserve"> apakšpunktā</w:t>
      </w:r>
      <w:r w:rsidR="00000000" w:rsidRPr="00000000" w:rsidDel="00000000">
        <w:rPr>
          <w:rtl w:val="0"/>
        </w:rPr>
        <w:t xml:space="preserve"> minētās atbalstāmās darbības īstenošanai nepieciešamo personālu vai īstenojot publiskos iepirkumus, nodrošina, ka projekta īstenošanas laikā tiek novērsti interešu konflikta, korupcijas un krāpšanas riski, veicot vismaz šādus pasākumus: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un īstenošanā iesaistītais personāls ir informēts par korupcijas un interešu konflikta novēršanas jautājumiem un krāpšanas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un īstenošanā iesaistītais personāls ir parakstījis apliecinājumu par pienākumu ziņot par konstatētajiem vai iespējamajiem trūkumiem un pārkāpumiem;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un īstenošanā iesaistītais personāls ir informēts par iespēju ziņot par pārkāpumiem un par ziņotāju aizsardzību atbilstoši Trauksmes celšanas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novērš dubultfinansēšanas riskus un nodrošina, ka projekta atbalstāmās darbības un to izmaksas pēdējo piecu gadu laikā nav finansētas, netiek finansētas, kā arī tās nav plānots finansēt no citiem valsts, pašvaldības vai ārvalstu finanšu palīdzības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atbilstoši Publisko iepirkumu likumam, īstenojot atklātas, pārredzamas, nediskriminējošas un konkurenci nodrošinošas iepirkuma procedūras un, ja ir iespējams un attiecināms atbilstoši projekta darbības specifikai, ievēro zaļā iepirkuma, sociāli atbildīgā un inovatīvā publiskā iepirkuma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līgumos avansa maksājumus var paredzēt ne vairāk kā 20 procentu apmērā no attiecīgā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pievienotās vērtības nodokļa izmaksu uzskaiti, kā arī ieskaita valsts budžetā neizmantotā pievienotās vērtības nodokļa daļu, ja sākotnēji plānotais pievienotās vērtības nodokļa apjoms ir lielāks nekā faktiski nepieciešams. 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atsevišķu grāmatvedības uzskaiti par projekta izdevumiem saskaņā ar normatīvo aktu prasībām grāmatvedības jomā un vispārpieņemtiem grāmatvedības kārtošanas principiem, tai skaitā izveidojot atbilstošu uzskaites kodu sistēmu par visiem projekta īstenošanas laikā veiktajiem darījumiem, kā arī pamatojošajā dokumentācijā norādot projekta identifikatoru;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normatīvajos aktos par Eiropas Savienības Atveseļošanas fonda plāna īstenošanas un uzraudzības kārtību minētajām institūcijām ir pieejama ar projekta īstenošanu saistītā dokumentācija. Dokumentācijas pieejamību nodrošina vadības informācijas sistēmā vai pie finansējuma saņēmēja. Ja dokumentācija ir pieejama tikai pie finansējuma saņēmēja, nodrošina tās iesniegšanu institūcijai, kas to pieprasa atbilstoši normatīvajos aktos par Eiropas Savienības Atveseļošanas fonda plāna īstenošanas un uzraudzības kārtību noteiktajai kompetencei;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nodrošinot normatīvajos aktos par Eiropas Savienības Atveseļošanas fonda plāna īstenošanas un uzraudzības kārtību noteiktā pienākuma izpildi attiecībā uz informācijas ievadi vadības informācijas sistēmā Atveseļošanas fonda plāna īstenošanas progresa pusgada ziņojuma un maksājuma pieprasījuma sagatavošanai, datus uzkrāj un ievada vadības informācijas sistēmā atbilstoši šo noteikumu </w:t>
      </w:r>
      <w:r w:rsidR="00000000" w:rsidRPr="00000000" w:rsidDel="00000000">
        <w:rPr>
          <w:rtl w:val="0"/>
        </w:rPr>
        <w:t xml:space="preserve">11.</w:t>
      </w:r>
      <w:r w:rsidR="00000000" w:rsidRPr="00000000" w:rsidDel="00000000">
        <w:rPr>
          <w:rtl w:val="0"/>
        </w:rPr>
        <w:t xml:space="preserve"> punktā minētajā pārvaldes lēmumā noteiktajam termiņam, bet ne vēlāk kā līdz kārtējā gada 10. janvārim (ar statusu uz iepriekšējā gada 31. decembri) un 10. jūlijam (ar statusu uz kārtējā gada 30. jūniju);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ar projekta īstenošanu saistītās dokumentācijas uzglabāšanu līdz 2031. gada 31.decembrim;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 datu pārziņi saskaņā ar Eiropas Parlamenta un Padomes 2016. gada 27. aprīļa Regulas (ES) 2016/679 par fizisku personu aizsardzību attiecībā uz personas datu apstrādi un šādu datu brīvu apriti un ar ko atceļ Direktīvu 95/46/EK ievērošanu attiecībā uz tādu personas datu apstrādi vadības informācijas sistēmā, kas nepieciešama kopējā šo noteikumu </w:t>
      </w:r>
      <w:r w:rsidR="00000000" w:rsidRPr="00000000" w:rsidDel="00000000">
        <w:rPr>
          <w:rtl w:val="0"/>
        </w:rPr>
        <w:t xml:space="preserve">4.3.2.</w:t>
      </w:r>
      <w:r w:rsidR="00000000" w:rsidRPr="00000000" w:rsidDel="00000000">
        <w:rPr>
          <w:rtl w:val="0"/>
        </w:rPr>
        <w:t xml:space="preserve"> apakšpunktā</w:t>
      </w:r>
      <w:r w:rsidR="00000000" w:rsidRPr="00000000" w:rsidDel="00000000">
        <w:rPr>
          <w:rtl w:val="0"/>
        </w:rPr>
        <w:t xml:space="preserve"> minētā rādītāja izpildes progresa atspoguļošanai, uzkrāj informāciju par atbalstu saņēmušajām personām, norādot personas dzimumu un vecuma grupu, tai skaitā par personām, kuras piedalījušās digitālo prasmju pilnveidē, ja attiecināms. Atbilstoši dalībnieku pārskata veidlapai revīzijas un kontroles vajadzībām finansējuma saņēmējs apstrādās šādus personu datus – personas vārds, uzvārds,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10.3.</w:t>
      </w:r>
      <w:r w:rsidR="00000000" w:rsidRPr="00000000" w:rsidDel="00000000">
        <w:rPr>
          <w:rtl w:val="0"/>
        </w:rPr>
        <w:t xml:space="preserve"> apakšpunktā</w:t>
      </w:r>
      <w:r w:rsidR="00000000" w:rsidRPr="00000000" w:rsidDel="00000000">
        <w:rPr>
          <w:rtl w:val="0"/>
        </w:rPr>
        <w:t xml:space="preserve"> minētos komunikācijas un vizuālās identitātes prasību nodrošināšanas pasākumus īsteno saskaņā ar Eiropas Parlamenta un Padomes 2021. gada 12. februāra Regulas (ES) 2021/241, ar ko izveido Atveseļošanas un noturības mehānismu, 34. pantu,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un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minēto atbalstāmo darbību īstenošanai tehniskās specifikācijas prasībās iekļauj informāciju, kas pamato, ka paredzētie risinājumi ir videi draudzīgi un energoefektīvi un atbalsta horizontālā principa "Nenodarīt būtisku kaitējumu" Eiropas Parlamenta un Padomes 2020. gada 18. jūnija Regulas (ES) 2020/852 par regulējuma izveidi ilgtspējīgu ieguldījumu veicināšanai un ar ko groza Regulu (ES) 2019/2088 17. panta nozīmē mērķu ievērošanu;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nekavējoties informē nozares ministriju par problēmām, tai skaitā konstatētiem vai iespējamiem trūkumiem un pārkāpumiem projekta īstenošanā, kuras saistītas ar normatīvajos aktos par Atveseļošanas fonda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atskaites punktu, uzraudzības rādītāja un kopējo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investīcijas ietvaros pilnveidotā infrastruktūra projekta īstenošanas laikā vai ieguldījumu amortizācijas periodā kļūst par infrastruktūru, kas saistīta ar saimniecisko darbību, kurai sniegtais atbalsts būtu kvalificējams kā komercdarbības atbalsts, finansējuma saņēmējs atmaksā saņemto nelikumīgo atbalstu kopā ar procentiem no līdzekļiem, kas ir brīvi no komercdarbības atbalsta, saskaņā ar Komercdarbības atbalsta kontroles likuma IV vai V nodaļu. Ja paredzēts mainīt infrastruktūras izmantošanas nosacījumus ieguldījumu amortizācijas periodā un tā rezultātā projekta darbības būs saistītas ar saimniecisko darbību, kurai sniegtais atbalsts būtu kvalificējams kā komercdarbības atbalsts, finansējuma saņēmējs iesniedz nozares ministrijai informāciju par plānotajām izmaiņām.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īstenojot investīcijas projektu, ir nepieciešami grozījumi projektā, plānoto progresa pārskatu iesniegšanas grafikā vai plānoto iepirkumu plānā, tos izdara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projekta, plānoto progresa pārskatu iesniegšanas grafika vai plānoto iepirkumu plāna grozījumu priekšlikumu nozares ministrijā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ministrija iesniegto  projekta grozījumu lietderību, pamatotību un nepieciešamību investīcijas mērķa sasniegšanai pārbauda 10 darbdienu laikā pēc projekta grozījumu priekšlikuma saņemšanas, bet attiecībā uz iesniegtajiem grozījumiem plānoto progresa pārskatu iesniegšanas grafikā vai plānoto iepirkumu plānā tos pieņem zināšanai vai piecu darbdienu laikā no to saņemšanas dienas informē finansējuma saņēmēju par nepieciešamajiem precizējumiem;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nozares ministrija noraida projekta, plānoto progresa pārskatu iesniegšanas grafika vai plānoto iepirkumu plāna grozījumu priekšlikumu, tā pamato atteikumu un, ja nepieciešams, informē par veicamajiem precizējumiem un grozījumu priekšlikuma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grozījumu priekšlikumu nozares ministrija izskata piecu darbdienu laikā no to saņemšanas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 ja nepieciešams, veic atbilstošus grozījumus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pārvaldes lēmumā.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Investīcijas projekta īstenošanas uzraudzību nodrošina nozares ministrija sadarbībā ar normatīvajos aktos par Eiropas Savienības Atveseļošanas fonda plāna īstenošanas un uzraudzības kārtību minētajām institūcijām saskaņā ar minētajiem normatīvajiem aktiem un noslēgto starpresoru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Nodrošinot investīcijas projekta īstenošanas uzraudzību saskaņā ar normatīvajiem aktiem par Eiropas Savienības Atveseļošanas fonda plāna īstenošanas un uzraudzības kārtību, nozares ministrija atbilstoši kompetencei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pārbaudi 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atskaites punktu un to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Papildus nozares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nepieciešamības, bet ne retāk kā reizi pusgadā organizē investīcijas īstenošanas progresa sanāksmes, pieaicinot finansējuma saņēmēju un, ja nepieciešams, arī Centrālo finanšu un līgumu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4.1.2.</w:t>
      </w:r>
      <w:r w:rsidR="00000000" w:rsidRPr="00000000" w:rsidDel="00000000">
        <w:rPr>
          <w:rtl w:val="0"/>
        </w:rPr>
        <w:t xml:space="preserve"> apakšpunktā</w:t>
      </w:r>
      <w:r w:rsidR="00000000" w:rsidRPr="00000000" w:rsidDel="00000000">
        <w:rPr>
          <w:rtl w:val="0"/>
        </w:rPr>
        <w:t xml:space="preserve"> minētā atskaites punkta izpildes uzraudzību, ja nepieciešams, var pieaicināt Centrālo finanšu un līgumu aģentūru piedalīties šo noteikumu </w:t>
      </w:r>
      <w:r w:rsidR="00000000" w:rsidRPr="00000000" w:rsidDel="00000000">
        <w:rPr>
          <w:rtl w:val="0"/>
        </w:rPr>
        <w:t xml:space="preserve">23.3.</w:t>
      </w:r>
      <w:r w:rsidR="00000000" w:rsidRPr="00000000" w:rsidDel="00000000">
        <w:rPr>
          <w:rtl w:val="0"/>
        </w:rPr>
        <w:t xml:space="preserve"> apakšpunktu</w:t>
      </w:r>
      <w:r w:rsidR="00000000" w:rsidRPr="00000000" w:rsidDel="00000000">
        <w:rPr>
          <w:rtl w:val="0"/>
        </w:rPr>
        <w:t xml:space="preserve"> minētajās pārbaudēs un sniegt konsultāciju;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Finanšu ministriju kā Atveseļošanas fonda plāna ieviešanas koordinatoru un, ja nepieciešams, Ministru kabinetu, ja nozares ministrija investīcijas ietvaros ir konstatējusi vai no Centrālās finanšu un līgumu aģentūras, Iepirkumu uzraudzības biroja, Finanšu ministrijas kā Atveseļošanas fonda plāna revīzijas iestādes, Eiropas Komisijas, citām kontrolējošām iestādēm vai finansējuma saņēmēja saņēmusi informāciju par konstatētiem trūkumiem un pārkāpumiem saistībā ar Atveseļošanas fonda plāna prasību īstenošanu un riskiem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atskaites punktu uzraudzības rādītāja un kopējo rādītāju sasniegšanai. Nozares ministrija sniedz detalizētu aprakstu par radušos situāciju, trūkumu un pārkāpumu rašanās cēloņiem un finansiālo ietekmi, kā arī par turpmāko iespējamo risinājumu, veicamajām darbībām un uzlabojumiem, lai novērstu konstatētās nepilnības;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finansējuma saņēmēja progresa pārskata saņemšanas pārbauda, vai tam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uzskatāma par datu pārzini saskaņā ar Eiropas Parlamenta un Padomes 2016. gada 27. aprīļa Regulu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attiecībā uz personas datu apstrādi uzraudzības jomā, lai īstenotu normatīvajos aktos par Eiropas Savienības Atveseļošanas un noturības mehānisma plāna īstenošanas un uzraudzības kārtību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Nozares ministrijai ir tiesības vienpusēji paziņot finansējuma saņēmējam par investīcijas projekta pārtraukšanu: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saņēmējs nepilda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pārvaldes lēmumu, tai skaitā netiek ievēroti projektā noteiktie termiņi vai ir iestājušies citi apstākļi, kas negatīvi ietekmē vai var ietekmēt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investīcijas atskaites punktu, uzraudzības rādītāja un kopējo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pārvaldes lēmumā noteiktajos gadījumos, tai skaitā ja finansējuma saņēmējam projekta īstenošanas laikā ir piemērotas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Investīcijas 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projektu īsteno līdz 2026. gada 30. jūnijam.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25-TA-298</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25-TA-298</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noteikumu_konsolidētā_versija_25-TA-298.docx</dc:title>
</cp:coreProperties>
</file>

<file path=docProps/custom.xml><?xml version="1.0" encoding="utf-8"?>
<Properties xmlns="http://schemas.openxmlformats.org/officeDocument/2006/custom-properties" xmlns:vt="http://schemas.openxmlformats.org/officeDocument/2006/docPropsVTypes"/>
</file>