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11. februāra noteikumos Nr. 99 "Kārtība, kādā lieliem, nozīmīgiem publiskiem pasākumiem un ārvalstu filmu uzņemšanai Latvijā tiek piešķirts valsts budžeta līdzfinansējums"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Filmu likuma 11. panta</w:t>
      </w:r>
      <w:r w:rsidR="00000000" w:rsidRPr="00000000" w:rsidDel="00000000">
        <w:rPr>
          <w:rStyle w:val="paragraph"/>
          <w:i w:val="1"/>
          <w:rtl w:val="0"/>
        </w:rPr>
        <w:t xml:space="preserve"> trešo daļu un </w:t>
      </w:r>
      <w:r w:rsidR="00000000" w:rsidRPr="00000000" w:rsidDel="00000000">
        <w:rPr>
          <w:rStyle w:val="paragraph"/>
          <w:i w:val="1"/>
          <w:rtl w:val="0"/>
        </w:rPr>
        <w:t xml:space="preserve">Inovatīvas uzņēmējdarbības un prioritāro projektu atbalsta likuma 4. panta</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11. februāra noteikumos Nr. 99 "Kārtība, kādā lieliem, nozīmīgiem publiskiem pasākumiem un ārvalstu filmu uzņemšanai Latvijā tiek piešķirts valsts budžeta līdzfinansējums" (Latvijas Vēstnesis, 2025, 35., 113.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dižpasākums noris ne biežāk kā reizi četros gados, izņemot, ja dižpasākuma projekta plānotie ieņēmumi un izdevumi vismaz trīs reizes pārsniedz iepriekšējā dižpasākuma ieņēmumu un izdevumu apjomu vai ja dižpasākuma ietekme uz Latvijas tautsaimniecību ir vismaz 6 milj.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"47.5. dižpasākuma projekta ietekmes aprēķinu uz Latvijas tautsaimniecību, ja attiecināms, ko aprēķina sareizinot plānoto ārvalstu viesu skaitu ar ārvalstu viesu pavadīto nakšu skaitu Latvijā un ārvalstu viesu izdevumiem vienā diennaktī iepriekšējā kalendārajā gadā atbilstoši Centrālās statistikas pārvaldes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"47.6. pārskatu par pārdotajām biļetēm ārvalstu viesiem, t.sk., pārskatu par ārvalstu viesu pārvietošanos un pārstāvēto valsti."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25-TA-1506</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25-TA-1506</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noteikumu_(grozījumu)_projekts_25-TA-1506.docx</dc:title>
</cp:coreProperties>
</file>

<file path=docProps/custom.xml><?xml version="1.0" encoding="utf-8"?>
<Properties xmlns="http://schemas.openxmlformats.org/officeDocument/2006/custom-properties" xmlns:vt="http://schemas.openxmlformats.org/officeDocument/2006/docPropsVTypes"/>
</file>