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nodaļā/stacionāra ambulatorajā daļā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traumas/ievainojuma/saindēšanās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statistiskās slimību un veselības problēmu klasifikācijas 10. redakcijai (turpmāk – 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cēloņi)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un aktīvais ingredients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