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Aizsargjoslu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Aizsargjoslu likumā (Latvijas Republikas Saeimas un Ministru Kabineta Ziņotājs, 1997, 6. nr.; 2002, 7. nr.; 2003, 15. nr.; 2005, 15. nr.; 2008, 8. nr.; 2009, 12. nr.; Latvijas Vēstnesis, 2010, 205. nr.; 2011, 169. nr.; 2013, 61., 87., 106., 243. nr.; 2014, 220. nr.; 2015, 240. nr.; 2016, 108. nr.; 2020, 123. nr.; 2022, 4., 204. nr.; 2023, 237.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12. panta otro daļu ar 17.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 aizsargjosla gar valsts robežas joslu, kas noteikta gar ārējo robežu, un patrulēšanas joslu.".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23.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Aizsargjosla gar valsts robežas joslu, kas noteikta gar ārējo robežu, un patrulēšanas joslu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Aizsargjoslu gar valsts robežas joslu, kas noteikta gar ārējo robežu, un patrulēšanas joslu nosaka, lai nodrošinātu ārējās sauszemes robežas apsardzībai nepieciešamās infrastruktūras, tostarp tehnoloģiskās infrastruktūras un inženierbūvju drošību un ekspluatāciju.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Aizsargjoslas platums ir 30 metri, sākot no valsts robežas joslas, kas noteikta gar ārējo robežu, iekšējās malas un patrulēšanas joslas malas, kas nesaskaras ar valsts robežu un robežzīmju uzraudzības joslu.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Aizsargjoslas gar valsts robežas joslu, kas noteikta gar ārējo robežu, un patrulēšanas joslu noteikšanas metodiku izstrādā Iekšlietu ministrija un to saskaņo ar Zemkopības ministriju.".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33. panta devīto daļu pēc skaitļa “23” ar skaitli “23.</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61.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Aizsargjoslā gar valsts robežas joslu, kas noteikta gar ārējo robežu, un patrulēšanas joslu apzāģē augošu koku zarus vai vainagus, lai nepieļautu šo koku vai zaru uzkrišanu uz ārējās sauszemes robežas apsardzībai nepieciešamās infrastruktūras, tostarp tehnoloģiskās infrastruktūras un inženierbūvēm, un saskaņā ar aizsargjoslas gar valsts robežas joslu, kas noteikta gar ārējo robežu, un patrulēšanas joslu noteikšanas metodiku, izcērt kokus, kuri var radīt vai rada apdraudējumu ārējās sauszemes robežas apsardzībai nepieciešamajai infrastruktūrai, tostarp tehnoloģiskajai infrastruktūrai un inženierbūvēm. Par potenciāli apdraudošiem kokiem uzskatāmi koki, kas atrodas aizsargjoslā gar valsts robežas joslu, kas noteikta gar ārējo robežu, un patrulēšanas joslu un kuri ir augstāki par attālumu no koka sakņu kakla līdz valsts robežas joslas, kas noteikta gar ārējo robežu, iekšējās malas un patrulēšanas joslas malai, kas nesaskaras ar valsts robežu un robežzīmju uzraudzības joslu, ja pastāv vismaz viens no šādiem nosacījumiem: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koki ir pastāvīgi novirzījušies no vertikālās ass uz ārējās sauszemes robežas pusi vairāk par 15 grādiem;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koki ir ar redzamām trupes pazīmēm;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lapu koku stumbra diametrs 1,3 metru augstumā virs sakņu kakla ir mazāks par 1/100 no koka augstuma;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koki blakus valsts robežas joslai, kas noteikta gar ārējo robežu, un patrulēšanas joslu aug nenocirstā meža joslā, kuras platums ir mazāks par 30 metriem;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lapu kokiem ir nesimetrisks vainags (lielākā daļa zaru aug virzienā uz ārējo robežu) vai mehāniski bojāta sakņu sistēma;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bebru grauzti koki.".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w:t>
      </w:r>
      <w:r w:rsidR="00000000" w:rsidRPr="00000000" w:rsidDel="00000000">
        <w:rPr>
          <w:vertAlign w:val="superscript"/>
          <w:rtl w:val="0"/>
        </w:rPr>
        <w:t xml:space="preserve">1</w:t>
      </w:r>
      <w:r w:rsidR="00000000" w:rsidRPr="00000000" w:rsidDel="00000000">
        <w:rPr>
          <w:rtl w:val="0"/>
        </w:rPr>
        <w:t xml:space="preserve"> daļu pēc vārdiem “Aizsargjoslās ārpus gaisvadu elektrolīniju trasēm” ar vārdiem “un aizsargjoslā gar valsts robežas joslu, kas noteikta gar ārējo robežu, un patrulēšanas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w:t>
      </w:r>
      <w:r w:rsidR="00000000" w:rsidRPr="00000000" w:rsidDel="00000000">
        <w:rPr>
          <w:vertAlign w:val="superscript"/>
          <w:rtl w:val="0"/>
        </w:rPr>
        <w:t xml:space="preserve">1 </w:t>
      </w:r>
      <w:r w:rsidR="00000000" w:rsidRPr="00000000" w:rsidDel="00000000">
        <w:rPr>
          <w:rtl w:val="0"/>
        </w:rPr>
        <w:t xml:space="preserve">daļas 1. punktu pēc vārdiem “no līnijas ass līdz trases malai” ar vārdiem “un no objekta, kas atrodas vistuvāk valsts robežai, līdz valsts robežas joslas, kas noteikta gar ārējo robežu, iekšējās malas un patrulēšanas joslas malai, kas nesaskaras ar valsts robežu un robežzīmju uzraudzības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w:t>
      </w:r>
      <w:r w:rsidR="00000000" w:rsidRPr="00000000" w:rsidDel="00000000">
        <w:rPr>
          <w:vertAlign w:val="superscript"/>
          <w:rtl w:val="0"/>
        </w:rPr>
        <w:t xml:space="preserve">1 </w:t>
      </w:r>
      <w:r w:rsidR="00000000" w:rsidRPr="00000000" w:rsidDel="00000000">
        <w:rPr>
          <w:rtl w:val="0"/>
        </w:rPr>
        <w:t xml:space="preserve">daļas 2. punktu pēc vārdiem “saskaņā ar šā panta piekto daļu” ar vārdiem “vai 5.</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10.</w:t>
      </w:r>
      <w:r w:rsidR="00000000" w:rsidRPr="00000000" w:rsidDel="00000000">
        <w:rPr>
          <w:vertAlign w:val="superscript"/>
          <w:rtl w:val="0"/>
        </w:rPr>
        <w:t xml:space="preserve">1</w:t>
      </w:r>
      <w:r w:rsidR="00000000" w:rsidRPr="00000000" w:rsidDel="00000000">
        <w:rPr>
          <w:rtl w:val="0"/>
        </w:rPr>
        <w:t xml:space="preserve"> daļas 3. punktu pēc vārdiem “elektrisko tīklu gaisvadu līniju aizsargjoslās ārpus elektrolīniju trasēm” ar vārdiem “vai aizsargjoslā gar valsts robežas joslu, kas noteikta gar ārējo robežu, un patrulēšanas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10.</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Aizsargjoslu gar valsts robežas joslu, kas noteikta gar ārējo robežu, un patrulēšanas joslu atbilstoši zemes lietojuma veidam uztur kārtībā attiecīgā objekta īpašnieks vai valdītājs, vai viņa pilnvarota persona vai saskaņā ar vienošanos - zemes īpašnieks. Valsts robežsardze slēdz sadarbības līgumu ar akciju sabiedrību "Latvijas valsts meži". Līgumā nosaka informācijas apmaiņas un veicamo darbu izpildes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24-TA-1951</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24-TA-1951</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likumprojekts_(grozījumi)_24-TA-1951.docx</dc:title>
</cp:coreProperties>
</file>

<file path=docProps/custom.xml><?xml version="1.0" encoding="utf-8"?>
<Properties xmlns="http://schemas.openxmlformats.org/officeDocument/2006/custom-properties" xmlns:vt="http://schemas.openxmlformats.org/officeDocument/2006/docPropsVTypes"/>
</file>