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2025. gada 4. februāra noteikumos Nr. 85 "Valsts un Eiropas Savienības atbalsta piešķiršanas kārtība Eiropas Lauksaimniecības fonda lauku attīstībai intervencē "Informatīvie pasākumi""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Lauksaimniecības un lauku attīstības likuma</w:t>
      </w:r>
      <w:r w:rsidR="00000000" w:rsidRPr="00000000" w:rsidDel="00000000">
        <w:rPr>
          <w:rStyle w:val="paragraph"/>
          <w:i w:val="1"/>
          <w:rtl w:val="0"/>
        </w:rPr>
        <w:t xml:space="preserve"> </w:t>
      </w:r>
      <w:r w:rsidR="00000000" w:rsidRPr="00000000" w:rsidDel="00000000">
        <w:rPr>
          <w:rStyle w:val="paragraph"/>
          <w:i w:val="1"/>
          <w:rtl w:val="0"/>
        </w:rPr>
        <w:t xml:space="preserve">5. panta</w:t>
      </w:r>
      <w:r w:rsidR="00000000" w:rsidRPr="00000000" w:rsidDel="00000000">
        <w:rPr>
          <w:rStyle w:val="paragraph"/>
          <w:i w:val="1"/>
          <w:rtl w:val="0"/>
        </w:rPr>
        <w:t xml:space="preserve">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2025. gada 4. februāra noteikumos Nr. 85 "Valsts un Eiropas Savienības atbalsta piešķiršanas kārtība Eiropas Lauksaimniecības fonda lauku attīstībai intervencē "Informatīvie pasākumi"" (Latvijas Vēstnesis, 2025, 26.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Atbalsta mērķis ir veicināt  informatīvo pasākumu pieejamību, lai paaugstinātu izpratni par lauksaimniecības, mežsaimniecības un pārtikas ražošanas (izņemot zivsaimniecības produktus) jautājumiem, uzņēmumu izaugsmi, efektivitātes palielināšanu un konkurētspējas uzlabošanu, digitalizāciju un jauno tehnoloģiju izmantošanu, saimniekošanas dažādošanu, vides un klimata pasākumiem, kā arī dabas resursu ilgtspējīgas apsaimniekošanas metožu pielietošanu, atjaunojamiem energoresursiem, antimikrobiālās rezistences un dzīvnieku labturības jautājumiem, darba tiesībām, darba drošības un arodveselības jautājumiem, zinātnes atziņu un jaunas prakses pielietojamību, kā arī citiem jautājumiem, tādējādi sekmējot lauku teritorijas attīstību. Informatīvā pasākuma mērķis ir sniegt noderīgu informāciju par aktuāliem jautājumiem, tam nav komerciāla vai reklāmas rakstura."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Lai nodrošinātu šo noteikumu 1. punktā  minētās intervences īstenošanu, Lauku atbalsta dienests un finansējuma saņēmējs apstrādā šādus personas datus – personas vārdu, uzvārdu, personas kodu, dzimumu, tālruņa numuru, e-pasta adresi, Lauku atbalsta dienesta klienta numuru, nekustamā īpašuma adresi, nekustamā īpašuma kadastra numuru, fiziskas personas deklarēto dzīvesvietu, parakstu. Finansējuma saņēmējs nodrošina pieejamību dokumentiem 10 gadus, sākot no dienas, kad piešķirts atbalsts, bet Lauku atbalsta dienests – sākot no dienas, kad piešķirts pēdējais atbalsts šajos noteikumos minētajai atbalsta intervencei. Pēc tam fiziskās personas dati iznīcināmi saskaņā ar Arhīvu likumā noteiktajām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Gala labuma guvēji, kas piedalās informatīvajos pasākumos, ir fiziskas personas, kuru dzīvesvieta ir deklarēta lauku teritorijā vai kuru nekustamā īpašuma (lauksaimniecības vai meža zemes) adrese ir lauku teritorijā, vai zirgu īpašnieki, kuru ganāmpulks ir reģistrēts Lauku atbalsta dienesta Lauksaimniecības dzīvnieku, ganāmpulku un novietņu reģistrā, vai juridiskas personas, kuru juridiskā adrese ir lauku teritorijā. Lauku teritorija ir Latvijas teritorija, izņemot valstspilsētas un pilsētas, kurās ir vairāk nekā 5000 iedzīvotāju. Iedzīvotāju skaitu nosaka saskaņā ar Centrālās statistikas pārvaldes datiem par iedzīvotāju skaitu Latvijas administratīvajās teritorijās atbilstoši jaunākajiem valsts statistiskajiem novērojumiem. Norādītā adrese tiek pārbaudīta pēc stāvokļa informatīvā pasākuma norises pirmajā dienā."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10.2.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"10.2. kooperatīvā sabiedrība, kas darbojas lauksaimniecības, mežsaimniecības vai pārtikas, dzērienu un amatniecības (mājražošana) nozarē."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11.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Informatīvā pasākuma minimālais apmeklētāju skaits ir 20  šo noteikumu 9. punktā minētie gala labuma guvēji – fiziskas personas – vai gala labuma guvēju – juridisko personu – pārstāvji."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12.2.2.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"12.2.2. jomas profesionāļi (lektori) ir ar augstāko vai profesionālo vidējo izglītību;".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12.2.3.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"12.2.3. jomas profesionāļi (lektori) iepriekšējo triju gadu laikā, skaitot no projekta iesniegšanas dienas, vismaz reizi gadā ir apmeklējuši mācības, kursus, seminārus, lekcijas vai konferences nozarē, par kuru tie sniedz informāciju vai nodrošina zināšanu apmaiņu (neattiecas uz ārvalstu jomas profesionāļiem (lektoriem), izņemot gadījumus, kad atbalstu piešķir saskaņā ar regulu 2022/2472);".</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16.2.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"16.2. viena atbalsta pretendenta organizētam starptautiska mēroga informatīvajam pasākumam, tas ir, pasākumam, kurā vismaz viens ārvalstu jomas profesionālis (lektors) piedalās klātienē, – līdz  8 000 </w:t>
      </w:r>
      <w:r w:rsidR="00000000" w:rsidRPr="00000000" w:rsidDel="00000000">
        <w:rPr>
          <w:i w:val="1"/>
          <w:rtl w:val="0"/>
        </w:rPr>
        <w:t xml:space="preserve">euro."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17.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 Maksimālais atbalsta apmērs vienam atbalsta pretendentam vienā kārtā ir 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Svītrot 18.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19.1.6.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"19.1.6. organizatoriskās izmaksas, bet ne vairāk kā 30 procenti no attiecināmajām izmaksām, neieskaitot kafijas pauzes izmaksas. Kafijas pauzes izmaksas attiecināmas ne vairāk kā septiņi </w:t>
      </w:r>
      <w:r w:rsidR="00000000" w:rsidRPr="00000000" w:rsidDel="00000000">
        <w:rPr>
          <w:i w:val="1"/>
          <w:rtl w:val="0"/>
        </w:rPr>
        <w:t xml:space="preserve">euro </w:t>
      </w:r>
      <w:r w:rsidR="00000000" w:rsidRPr="00000000" w:rsidDel="00000000">
        <w:rPr>
          <w:rtl w:val="0"/>
        </w:rPr>
        <w:t xml:space="preserve">par katru kafijas pauzi vienam reģistrētajam attiecīgā pasākuma dalībniekam, kas pieteicies informatīvo pasākumu apmeklēt klātienē, jomas profesionālim (lektoram) un informatīvā pasākuma organizēšanā iesaistītajam personālam, kas informatīvajā pasākumā piedalās klātienē (ja plānotie izdevumi pārsniedz noteikto limitu, tos elektroniski saskaņo ar Lauku atbalsta dienestu pirms maksājuma veikšanas). Ja pasākums ir ilgāks par sešām stundām (astronomiskajām), rīko ne vairāk kā divas kafijas pauzes;".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19.2.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"19.2. netiešās attiecināmās izmaksas – izmaksas, kas nepieciešamas pakalpojuma nodrošināšanai, bet nav tieši saistītas ar pakalpojuma sniegšanu, piemēram, biroja administratīvie izdevumi, grāmatvedības pakalpojumi, – septiņi procenti no tiešajām attiecināmajām izmaksām."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25.3.2.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"25.3.2. sarakstu, kurā norādīts informatīvā pasākuma īstenošanā iesaistītais personāls – jomas profesionāļi (lektori) un par projektu atbildīgā persona –, jomas profesionāļu (lektoru) kvalifikācijas apraksti, kas apliecina viņu  atbilstību šo noteikumu 12.2. apakšpunkta un 13. punkta prasībām, jomas profesionāļu (lektoru)  izglītību apliecinošo dokumentu kopijas attēla formātā (ja attiecas – dokumenta kopiju par uzvārda maiņu attēla formātā). Nepieciešamības gadījumā dokumentiem, kas sagatavoti citā valodā, Lauku atbalsta dienests pieprasa atbalsta pretendenta apliecinātu tulkojumu latviešu valodā. Pēc projekta iesnieguma apstiprināšanas pretendents ir tiesīgs mainīt vai papildināt informatīvā pasākuma īstenošanā iesaistīto personālu ar jaunu personālu (pēc saskaņošanas ar Lauku atbalsta dienestu), iesniedzot attiecīgos dokumentus, kas apliecina jaunā personāla atbilstību šo noteikumu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26.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 Lauku atbalsta dienests izvērtē atbalsta pretendenta atbilstību šo noteikumu 10.  un 12. punkta nosacījumiem, pārbauda šo noteikumu 25.5. apakšpunktā   minēto atbalsta pretendenta norādīto informāciju (ja attiecināms) un projektu iesniegumus sarindo dilstošā secībā, ņemot vērā iegūto punktu skaitu projektu atlases kritērijos.  Atlases kritērijus atbilstoši regulas Nr. 2021/2115 79. panta 1. punktam apstiprina Zemkopības ministrija pēc saskaņošanas ar Kopējās lauksaimniecības politikas stratēģiskā plāna 2023.–2027. gadam uzraudzības komiteju, kas izveidota saskaņā ar normatīvajiem aktiem par kārtību, kādā administrē un uzrauga Eiropas Lauksaimniecības garantiju fondu un Eiropas Lauksaimniecības fondu lauku attīstībai, kā arī valsts un Eiropas Savienības atbalstu lauksaimniecībai un lauku attīstībai 2023.–2027. gada plānošanas periodā. Priekšroka publiskā finansējuma saņemšanai ir projekta iesniegumam ar lielāko punktu skaitu. Ja divu vai vairāku projekta iesniegumu kopējais piešķiramo punktu skaits ir vienāds, priekšroka tiek dota projekta iesniegumam, kurā plānots lielākais projekta iesniegumā norādīto informatīvo pasākumu apmeklētāju kopskaits. Projektus, kas atbilst projektu atlases kritērijiem, turpina vērtēt saskaņā ar normatīvajiem aktiem par valsts un Eiropas Savienības atbalsta piešķiršanu, administrēšanu un uzraudzību lauku un zivsaimniecības attīstībai, ciktāl tie nav pretrunā ar šiem noteikumiem."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32.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 Atbalsta pretendents pēc informatīvā pasākuma norises līdz maksājuma pieprasījuma iesniegšanas dienai Lauku atbalsta dienesta Elektroniskās pieteikšanās sistēmā ievada informatīvā pasākuma laiku un vietu, kā arī šo noteikumu 29.  un 30. punktā minētos datus par gala labuma guvējiem un informatīvā pasākuma apmeklētājiem."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26-TA-517</w:t>
    </w:r>
    <w:r>
      <w:br/>
    </w:r>
    <w:r w:rsidR="00000000" w:rsidRPr="00000000" w:rsidDel="00000000">
      <w:rPr>
        <w:rtl w:val="0"/>
      </w:rPr>
      <w:t xml:space="preserve">Izdrukāts 29.07.2026. 22.43 - 1.0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26-TA-517</w:t>
    </w:r>
    <w:r>
      <w:br/>
    </w:r>
    <w:r w:rsidR="00000000" w:rsidRPr="00000000" w:rsidDel="00000000">
      <w:rPr>
        <w:rtl w:val="0"/>
      </w:rPr>
      <w:t xml:space="preserve">Izdrukāts 29.07.2026. 22.43 - 1.0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noteikumu_(grozījumu)_projekts_26-TA-517.docx</dc:title>
</cp:coreProperties>
</file>

<file path=docProps/custom.xml><?xml version="1.0" encoding="utf-8"?>
<Properties xmlns="http://schemas.openxmlformats.org/officeDocument/2006/custom-properties" xmlns:vt="http://schemas.openxmlformats.org/officeDocument/2006/docPropsVTypes"/>
</file>