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februārī (prot. Nr. 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47 000 </w:t>
      </w:r>
      <w:r w:rsidR="00000000" w:rsidRPr="00000000" w:rsidDel="00000000">
        <w:rPr>
          <w:i w:val="1"/>
          <w:rtl w:val="0"/>
        </w:rPr>
        <w:t xml:space="preserve">euro</w:t>
      </w:r>
      <w:r w:rsidR="00000000" w:rsidRPr="00000000" w:rsidDel="00000000">
        <w:rPr>
          <w:rtl w:val="0"/>
        </w:rPr>
        <w:t xml:space="preserve"> apmērā 2025. gadā no Satiksmes ministrijas budžeta programmas 97.00.00 "Nozaru vadība un politikas plānošana" prioritārajam pasākumam "Satiksmes nozares pārvaldības un finansēšanas modeļa reforma" piešķirtā finansējuma uz budžeta apakšprogrammu 31.06.00 "Dotācija zaudējumu segšanai sabiedriskā transporta pakalpojumu sniedzējiem", lai 2025. gadā nodrošinātu pilotprojekta "Vienotā biļete AS "Pasažieru vilciens" un RP SIA "Rīgas satiksme" sabiedriskajā transportā” aktivitātes "Izstrāde, tehniskais nodrošinājums un komunikācijas un publicitātes aktivitāšu izmaksas”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finansējuma piešķiršanā ievērot Eiropas Parlamenta un Padomes 2007. gada 23. oktobra Regulas (EK) Nr. 1370/2007 par sabiedriskā pasažieru transporta pakalpojumiem, izmantojot dzelzceļu un autoceļus, un ar ko atceļ Padomes Regulu (EEK) Nr. 1191/69 un Padomes Regulu (EEK) Nr. 1107/70, nosacījumus atbilstoši valsts sabiedrības ar ierobežotu atbildību "Autotransporta direkcija" un akciju sabiedrības "Pasažieru vilciens"  noslēgtajam pilnvarojuma līgumam par sabiedriskas nozīmes pakalpojumu sniegšanu transporta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24-TA-2600</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24-TA-2600</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rīkojuma_projekts_24-TA-2600.docx</dc:title>
</cp:coreProperties>
</file>

<file path=docProps/custom.xml><?xml version="1.0" encoding="utf-8"?>
<Properties xmlns="http://schemas.openxmlformats.org/officeDocument/2006/custom-properties" xmlns:vt="http://schemas.openxmlformats.org/officeDocument/2006/docPropsVTypes"/>
</file>