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"Damalas" un "Jaungludauši" Lubes pagastā, Talsu novadā, daļu pirkšanu valsts reģionālā autoceļa P126 "Valdgale-Roja"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šādas nekustamo īpašumu daļas, kas nepieciešamas transporta infrastruktūras attīstībai – valsts reģionālā autoceļa P126 "Valdgale–Roja" posma 10,09.–26,86. km pārbūves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"Damalas" (nekustamā īpašuma kadastra Nr. 8874 005 0110) daļu – zemes vienību (zemes vienības kadastra apzīmējums 8874 005 0226) 0,009 ha platībā – Anužos, Lubes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"Jaungludauši" (nekustamā īpašuma kadastra Nr. 8874 005 0054) daļu – zemes vienību (zemes vienības kadastra apzīmējums 8874 005 0224) 0,012 ha platībā – Lubes pagastā, Talsu novadā.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zaudējumu kompensēšanu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26-TA-571</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26-TA-571</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rīkojuma_projekts_26-TA-571.docx</dc:title>
</cp:coreProperties>
</file>

<file path=docProps/custom.xml><?xml version="1.0" encoding="utf-8"?>
<Properties xmlns="http://schemas.openxmlformats.org/officeDocument/2006/custom-properties" xmlns:vt="http://schemas.openxmlformats.org/officeDocument/2006/docPropsVTypes"/>
</file>