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pašvaldības investīciju projektu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4459"/>
        <w:gridCol w:w="4476"/>
        <w:tblGridChange w:id="0">
          <w:tblGrid>
            <w:gridCol w:w="253"/>
            <w:gridCol w:w="4459"/>
            <w:gridCol w:w="44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 un atbilstība Ministru kabineta 2022. gada 8. februāra noteikumu Nr. 112 "Kārtība, kādā piešķiramas un izlietojamas mērķdotācijas investīcijām pašvaldībām" (turpmāk – noteikumi) </w:t>
            </w:r>
            <w:r w:rsidR="00000000" w:rsidRPr="00000000" w:rsidDel="00000000">
              <w:rPr>
                <w:rtl w:val="0"/>
              </w:rPr>
              <w:t xml:space="preserve">4.1. apakšpunktā</w:t>
            </w:r>
            <w:r w:rsidR="00000000" w:rsidRPr="00000000" w:rsidDel="00000000">
              <w:rPr>
                <w:rtl w:val="0"/>
              </w:rPr>
              <w:t xml:space="preserve"> minētajiem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 (norāda tīmekļvietni, kur pieejams aktuālais investīciju plāns, un pasākuma numuru)*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kopējās** plānotās izmaksas,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kopējais apmērs projekta īstenošanas gadā atbilstoši noteikumu </w:t>
            </w:r>
            <w:r w:rsidR="00000000" w:rsidRPr="00000000" w:rsidDel="00000000">
              <w:rPr>
                <w:rtl w:val="0"/>
              </w:rPr>
              <w:t xml:space="preserve">4.6. apakšpunktam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pirmajā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otrajā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 apmērs projekta īstenošanas gadā atbilstoši noteikumu </w:t>
            </w:r>
            <w:r w:rsidR="00000000" w:rsidRPr="00000000" w:rsidDel="00000000">
              <w:rPr>
                <w:rtl w:val="0"/>
              </w:rPr>
              <w:t xml:space="preserve">4.7. apakšpunktam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pirmajā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otrajā īstenošanas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uzsākšanas un pabeigšanas mēnesis,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tehniskā gatavība (būvprojekta gatavība, ja tāds ir nepieciešams, vai cits dokumentu kopums, kas apliecina projekta gatavību, tai skaitā, ja attiecināms, norāda Būvniecības informācijas sistēmā esošās būvniecības lietas numuru).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attiecināms, norāda "pašvaldība apliecina, ka paredzētā investīciju projekta īstenošanai būvniecības ieceres dokumenti nav nepieciešami"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īstenošanas, plānoto pasākumu un to izmaksu ekonomiskais un ilgtspējas pamatojums, iekļaujot noteikumu </w:t>
            </w:r>
            <w:r w:rsidR="00000000" w:rsidRPr="00000000" w:rsidDel="00000000">
              <w:rPr>
                <w:rtl w:val="0"/>
              </w:rPr>
              <w:t xml:space="preserve">4.</w:t>
            </w:r>
            <w:r w:rsidR="00000000" w:rsidRPr="00000000" w:rsidDel="00000000">
              <w:rPr>
                <w:rtl w:val="0"/>
              </w:rPr>
              <w:t xml:space="preserve"> punktā</w:t>
            </w:r>
            <w:r w:rsidR="00000000" w:rsidRPr="00000000" w:rsidDel="00000000">
              <w:rPr>
                <w:rtl w:val="0"/>
              </w:rPr>
              <w:t xml:space="preserve"> minēto informāciju, tai skaitā investīciju projekta uzturēšanas izmaksas trīs gadus pirms (ja ir esošs objekts) un ne mazāk kā 10 gadus pēc investīciju projekta īstenošanas.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Sniedzot informāciju par projekta ilgtspēju, norāda tā ietekmi uz klimata pārmaiņu mazināšanu vai pielāgošanos klimata pārmaiņām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projekta izmaksu ekonomiskais aprēķins ir balstīts uz vismaz vienu no šādiem informācijas avotiem: esošā investīciju projekta iepirkuma rezultāts; tāda līdzvērtīga investīciju projekta iepirkuma rezultāts, kas veikts ne vēlāk kā sešus mēnešus pirms investīciju projekta iesniegšanas; tirgus aptaujas rezultāts; projektētāja apstiprināta tāme, kas izstrādāta vai aktualizēta ne agrāk kā sešus mēnešus pirms investīciju projekta iesniegšanas  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to, vai investīciju projektā paredzēts komercdarbības atbalsts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projekts Likuma par budžetu un finanšu vadību izpratnē ir budžeta investīcijas 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netiks pieļauts dubultā finansējuma ieguldījums gadījumos, ja investīciju projektā ir piesaistīts finansējums no citiem finanšu avotiem vai tiek plānots piesaistīt šādu finansējumu (pašvaldība apliecina atbilstību, šajā punktā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kontaktpersona (vārds, uzvārds, e-pasts, tālruņa numurs)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Atbilstība pašvaldības attīstības programmas investīciju plānam nozīmē, ka projekta nosaukums un finansējuma apmērs ir vienāds ar pieteiktā investīciju projekta nosaukumu un finansējuma apmēru.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Ja pašvaldības investīciju projektā tiek plānoti būvdarbi atbilstoši Būvniecības likuma 1. pantam, būvdarbu izmaksās neiekļauj būvuzraudzības un autoruzraudzības izmaksas.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