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31.oktobra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ekonomiskās novērtēšanas vadlīnijas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25.08.2009. noteikumiem Nr. 967; MK 22.09.2009. noteikumiem Nr. 1096; MK 19.10.2011. noteikumiem Nr. 821; MK 10.09.2013. noteikumiem Nr. 805; MK 07.08.2018. noteikumiem Nr. 493; MK 16.07.2019. noteikumiem Nr. 347)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Zāļu ekonomiskās novērtēšanas vadlīnijas (turpmāk - vadlīnijas) ir metožu kopums, kuras lieto farmakoekonomiskās analīzes veikšanai, pieņemot lēmumu par zāļu un medicīnisko ierīču iekļaušanu kompensējamo zāļu sarakstā vai svītrošanu no tā.</w:t>
      </w:r>
      <w:r>
        <w:tab/>
      </w:r>
      <w:r>
        <w:br/>
      </w:r>
      <w:r>
        <w:tab/>
      </w:r>
      <w:r>
        <w:br/>
      </w:r>
      <w:r w:rsidR="00000000" w:rsidRPr="00000000" w:rsidDel="00000000">
        <w:rPr>
          <w:rtl w:val="0"/>
        </w:rPr>
        <w:t xml:space="preserve">2. Iesniedzot iesniegumu par zāļu vai medicīnisko ierīču iekļaušanu kompensējamo zāļu sarakstā, iesniedzējs veic farmakoekonomiskos aprēķinus saskaņā ar vadlīnijām.</w:t>
      </w:r>
      <w:r>
        <w:tab/>
      </w:r>
      <w:r>
        <w:br/>
      </w:r>
      <w:r>
        <w:tab/>
      </w:r>
      <w:r>
        <w:br/>
      </w:r>
      <w:r w:rsidR="00000000" w:rsidRPr="00000000" w:rsidDel="00000000">
        <w:rPr>
          <w:rtl w:val="0"/>
        </w:rPr>
        <w:t xml:space="preserve">3. Izvērtējot iesniegumu par zāļu vai medicīnisko ierīču iekļaušanu kompensējamo zāļu sarakstā, saskaņā ar vadlīnijām tiek vērtētas zāļu vai medicīnisko ierīču lietošanas izmaksas un ietekme uz veselības aprūpes sistēmas rādītājiem un izmaksām.</w:t>
      </w:r>
      <w:r>
        <w:tab/>
      </w:r>
      <w:r>
        <w:br/>
      </w:r>
      <w:r>
        <w:tab/>
      </w:r>
      <w:r>
        <w:br/>
      </w:r>
      <w:r w:rsidR="00000000" w:rsidRPr="00000000" w:rsidDel="00000000">
        <w:rPr>
          <w:rtl w:val="0"/>
        </w:rPr>
        <w:t xml:space="preserve">4. Farmakoekonomiskajā analīzē ievēro šādas prasības:</w:t>
      </w:r>
      <w:r>
        <w:tab/>
      </w:r>
      <w:r>
        <w:br/>
      </w:r>
      <w:r>
        <w:tab/>
      </w:r>
      <w:r>
        <w:br/>
      </w:r>
      <w:r w:rsidR="00000000" w:rsidRPr="00000000" w:rsidDel="00000000">
        <w:rPr>
          <w:rtl w:val="0"/>
        </w:rPr>
        <w:t xml:space="preserve">4.1. skaidri noteikts izpētes jautājums;</w:t>
      </w:r>
      <w:r>
        <w:tab/>
      </w:r>
      <w:r>
        <w:br/>
      </w:r>
      <w:r>
        <w:tab/>
      </w:r>
      <w:r>
        <w:br/>
      </w:r>
      <w:r w:rsidR="00000000" w:rsidRPr="00000000" w:rsidDel="00000000">
        <w:rPr>
          <w:rtl w:val="0"/>
        </w:rPr>
        <w:t xml:space="preserve">4.2. norādīts analīzes veicējs, tā kvalifikācija un saistība ar analīzes pasūtītāju;</w:t>
      </w:r>
      <w:r>
        <w:tab/>
      </w:r>
      <w:r>
        <w:br/>
      </w:r>
      <w:r>
        <w:tab/>
      </w:r>
      <w:r>
        <w:br/>
      </w:r>
      <w:r w:rsidR="00000000" w:rsidRPr="00000000" w:rsidDel="00000000">
        <w:rPr>
          <w:rtl w:val="0"/>
        </w:rPr>
        <w:t xml:space="preserve">4.3. analīzi pamato ar publicētu klīnisko pētījumu datiem, kuri apliecina zāļu terapeitisko ekvivalenci vai terapeitisko pārākumu un kuros izvirzīti primārie un sekundārie ieguvumi un norādīti to izpētes rezultāti;</w:t>
      </w:r>
      <w:r>
        <w:tab/>
      </w:r>
      <w:r>
        <w:br/>
      </w:r>
      <w:r>
        <w:tab/>
      </w:r>
      <w:r>
        <w:br/>
      </w:r>
      <w:r w:rsidR="00000000" w:rsidRPr="00000000" w:rsidDel="00000000">
        <w:rPr>
          <w:rtl w:val="0"/>
        </w:rPr>
        <w:t xml:space="preserve">4.4. analīzi drīkst pamatot ar nepublicētiem klīniskiem pētījumiem, ja tie iesniegti zāļu reģistrācijai;</w:t>
      </w:r>
      <w:r>
        <w:tab/>
      </w:r>
      <w:r>
        <w:br/>
      </w:r>
      <w:r>
        <w:tab/>
      </w:r>
      <w:r>
        <w:br/>
      </w:r>
      <w:r w:rsidR="00000000" w:rsidRPr="00000000" w:rsidDel="00000000">
        <w:rPr>
          <w:rtl w:val="0"/>
        </w:rPr>
        <w:t xml:space="preserve">4.5. ievērota atbilstība zāļu indikācijām, kuras apstiprinātas attiecīgajā valstī. Analīzē iekļauto pacientu skaits atbilst klīniskajā pētījumā norādītajam pacientu skaitam, un analīzē iekļauta visa papildu informācija, kas attiecas uz pētāmo jautājumu;</w:t>
      </w:r>
      <w:r>
        <w:tab/>
      </w:r>
      <w:r>
        <w:br/>
      </w:r>
      <w:r>
        <w:tab/>
      </w:r>
      <w:r>
        <w:br/>
      </w:r>
      <w:r w:rsidR="00000000" w:rsidRPr="00000000" w:rsidDel="00000000">
        <w:rPr>
          <w:rtl w:val="0"/>
        </w:rPr>
        <w:t xml:space="preserve">4.6. klīniskā pētījuma apakšgrupu datus norāda papildus, ja pastāv būtiskas terapeitiskās efektivitātes vai izmaksu atšķirības;</w:t>
      </w:r>
      <w:r>
        <w:tab/>
      </w:r>
      <w:r>
        <w:br/>
      </w:r>
      <w:r>
        <w:tab/>
      </w:r>
      <w:r>
        <w:br/>
      </w:r>
      <w:r w:rsidR="00000000" w:rsidRPr="00000000" w:rsidDel="00000000">
        <w:rPr>
          <w:rtl w:val="0"/>
        </w:rPr>
        <w:t xml:space="preserve">4.7. salīdzinātas izmaksas un ieguvumi, lietojot jaunās zāles un citu alter­natīvu terapiju (standarta vai praksē plašāk lietoto terapiju attiecīgajā valstī):</w:t>
      </w:r>
      <w:r>
        <w:tab/>
      </w:r>
      <w:r>
        <w:br/>
      </w:r>
      <w:r>
        <w:tab/>
      </w:r>
      <w:r>
        <w:br/>
      </w:r>
      <w:r w:rsidR="00000000" w:rsidRPr="00000000" w:rsidDel="00000000">
        <w:rPr>
          <w:rtl w:val="0"/>
        </w:rPr>
        <w:t xml:space="preserve">4.7.1. ja zāles pieder jau esošai farmakoterapeitiskai grupai, salīdzinošais preparāts ir visbiežāk lietotās šīs grupas zāles;</w:t>
      </w:r>
      <w:r>
        <w:tab/>
      </w:r>
      <w:r>
        <w:br/>
      </w:r>
      <w:r>
        <w:tab/>
      </w:r>
      <w:r>
        <w:br/>
      </w:r>
      <w:r w:rsidR="00000000" w:rsidRPr="00000000" w:rsidDel="00000000">
        <w:rPr>
          <w:rtl w:val="0"/>
        </w:rPr>
        <w:t xml:space="preserve">4.7.2. ja zāles pieder jaunai farmakoterapeitiskai grupai, salīdzinošais preparāts ir visbiežāk lietotās alternatīvās zāles noteiktas indikācijas gadījumā;</w:t>
      </w:r>
      <w:r>
        <w:tab/>
      </w:r>
      <w:r>
        <w:br/>
      </w:r>
      <w:r>
        <w:tab/>
      </w:r>
      <w:r>
        <w:br/>
      </w:r>
      <w:r w:rsidR="00000000" w:rsidRPr="00000000" w:rsidDel="00000000">
        <w:rPr>
          <w:rtl w:val="0"/>
        </w:rPr>
        <w:t xml:space="preserve">4.7.3. salīdzinošai terapijai var izvēlēties arī nemedikamentozu terapiju vai neārstēšanas principu, ja kāds no tiem tiek plaši lietots praksē;</w:t>
      </w:r>
      <w:r>
        <w:tab/>
      </w:r>
      <w:r>
        <w:br/>
      </w:r>
      <w:r>
        <w:tab/>
      </w:r>
      <w:r>
        <w:br/>
      </w:r>
      <w:r w:rsidR="00000000" w:rsidRPr="00000000" w:rsidDel="00000000">
        <w:rPr>
          <w:rtl w:val="0"/>
        </w:rPr>
        <w:t xml:space="preserve">4.7.4. salīdzinošo zāļu devas un terapijas ilgums atbilst zāļu aprakstā un ārstēšanas vadlīnijās norādītajai devai un klīniskajā pētījumā lietotajām devām. Ja izvēlētas atšķirīgas devas no klīniskajā pētījumā lietotajām devām, sniedz atšķirību pamatojumu;</w:t>
      </w:r>
      <w:r>
        <w:tab/>
      </w:r>
      <w:r>
        <w:br/>
      </w:r>
      <w:r>
        <w:tab/>
      </w:r>
      <w:r>
        <w:br/>
      </w:r>
      <w:r w:rsidR="00000000" w:rsidRPr="00000000" w:rsidDel="00000000">
        <w:rPr>
          <w:rtl w:val="0"/>
        </w:rPr>
        <w:t xml:space="preserve">4.7.5. alternatīvu izvēlei sniedz pamatojumu.</w:t>
      </w:r>
      <w:r>
        <w:tab/>
      </w:r>
      <w:r>
        <w:br/>
      </w:r>
      <w:r>
        <w:tab/>
      </w:r>
      <w:r>
        <w:br/>
      </w:r>
      <w:r w:rsidR="00000000" w:rsidRPr="00000000" w:rsidDel="00000000">
        <w:rPr>
          <w:rtl w:val="0"/>
        </w:rPr>
        <w:t xml:space="preserve">5. Ir šādi farmakoekonomiskās analīzes veidi (sniedz pamatojumu konkrēta veida izvēlei):</w:t>
      </w:r>
      <w:r>
        <w:tab/>
      </w:r>
      <w:r>
        <w:br/>
      </w:r>
      <w:r>
        <w:tab/>
      </w:r>
      <w:r>
        <w:br/>
      </w:r>
      <w:r w:rsidR="00000000" w:rsidRPr="00000000" w:rsidDel="00000000">
        <w:rPr>
          <w:rtl w:val="0"/>
        </w:rPr>
        <w:t xml:space="preserve">5.1. izmaksu minimizēšanas analīze (IMA). Šo metodi lieto, ja jauno zāļu terapeitiskā vērtība ir vienāda ar salīdzinošās alternatīvas terapeitisko vērtību. Pieņemot, ka ieguvumi ir līdzvērtīgi, salīdzina tikai izmaksas;</w:t>
      </w:r>
      <w:r>
        <w:tab/>
      </w:r>
      <w:r>
        <w:br/>
      </w:r>
      <w:r>
        <w:tab/>
      </w:r>
      <w:r>
        <w:br/>
      </w:r>
      <w:r w:rsidR="00000000" w:rsidRPr="00000000" w:rsidDel="00000000">
        <w:rPr>
          <w:rtl w:val="0"/>
        </w:rPr>
        <w:t xml:space="preserve">5.2. izmaksu efektivitātes analīze (IEA). Šo metodi lieto, salīdzinot izmaksas un iegūtos rezultātus starp divām vai vairākām alternatīvām ārstēšanas metodēm, kuras vieno kopīgs mērķis. Iegūtos rezultātus mēra fiziskās vienībās. Analīzes mērķis ir aprēķināt izmaksas uz vienu papildus iegūtā rezultāta vienību, lietojot izmaksu efektivitātes pieauguma rādītāju;</w:t>
      </w:r>
      <w:r>
        <w:tab/>
      </w:r>
      <w:r>
        <w:br/>
      </w:r>
      <w:r>
        <w:tab/>
      </w:r>
      <w:r>
        <w:br/>
      </w:r>
      <w:r w:rsidR="00000000" w:rsidRPr="00000000" w:rsidDel="00000000">
        <w:rPr>
          <w:rtl w:val="0"/>
        </w:rPr>
        <w:t xml:space="preserve">5.3. izmaksu lietderīguma analīze (ILA). Izmaksu lietderīguma analīze ir vispārīga izmaksu efektivitātes analīzes forma, ko izmanto, lai aprēķinātu izmaksas par vienu papildus iegūtu dzīves gadu, ietverot lietderīgumu jeb dzīves kvalitātes novērtējumu. Analīzē paskaidro lietderīguma vērtību izcelsmes avotu un sniedz izmantotās dzīves kvalitātes novērtēšanas metodes (vispārējas vai slimībai atbilstošas) pamatojumu.</w:t>
      </w:r>
      <w:r>
        <w:tab/>
      </w:r>
      <w:r>
        <w:br/>
      </w:r>
      <w:r>
        <w:tab/>
      </w:r>
      <w:r>
        <w:br/>
      </w:r>
      <w:r w:rsidR="00000000" w:rsidRPr="00000000" w:rsidDel="00000000">
        <w:rPr>
          <w:rtl w:val="0"/>
        </w:rPr>
        <w:t xml:space="preserve">6. Zāļu terapeitisko vērtību nosaka to lietošanas rezultāts (individuālam pacientam vai veselības aprūpes sistēmai kopumā):</w:t>
      </w:r>
      <w:r>
        <w:tab/>
      </w:r>
      <w:r>
        <w:br/>
      </w:r>
      <w:r>
        <w:tab/>
      </w:r>
      <w:r>
        <w:br/>
      </w:r>
      <w:r w:rsidR="00000000" w:rsidRPr="00000000" w:rsidDel="00000000">
        <w:rPr>
          <w:rtl w:val="0"/>
        </w:rPr>
        <w:t xml:space="preserve">6.1. mirstības samazināšana;</w:t>
      </w:r>
      <w:r>
        <w:tab/>
      </w:r>
      <w:r>
        <w:br/>
      </w:r>
      <w:r>
        <w:tab/>
      </w:r>
      <w:r>
        <w:br/>
      </w:r>
      <w:r w:rsidR="00000000" w:rsidRPr="00000000" w:rsidDel="00000000">
        <w:rPr>
          <w:rtl w:val="0"/>
        </w:rPr>
        <w:t xml:space="preserve">6.2. slimības izraisīto komplikāciju samazināšana;</w:t>
      </w:r>
      <w:r>
        <w:tab/>
      </w:r>
      <w:r>
        <w:br/>
      </w:r>
      <w:r>
        <w:tab/>
      </w:r>
      <w:r>
        <w:br/>
      </w:r>
      <w:r w:rsidR="00000000" w:rsidRPr="00000000" w:rsidDel="00000000">
        <w:rPr>
          <w:rtl w:val="0"/>
        </w:rPr>
        <w:t xml:space="preserve">6.3. slimības izraisīto blakusparādību samazināšana;</w:t>
      </w:r>
      <w:r>
        <w:tab/>
      </w:r>
      <w:r>
        <w:br/>
      </w:r>
      <w:r>
        <w:tab/>
      </w:r>
      <w:r>
        <w:br/>
      </w:r>
      <w:r w:rsidR="00000000" w:rsidRPr="00000000" w:rsidDel="00000000">
        <w:rPr>
          <w:rtl w:val="0"/>
        </w:rPr>
        <w:t xml:space="preserve">6.4. veiksmīgi kontrolētu slimības simptomu skaits;</w:t>
      </w:r>
      <w:r>
        <w:tab/>
      </w:r>
      <w:r>
        <w:br/>
      </w:r>
      <w:r>
        <w:tab/>
      </w:r>
      <w:r>
        <w:br/>
      </w:r>
      <w:r w:rsidR="00000000" w:rsidRPr="00000000" w:rsidDel="00000000">
        <w:rPr>
          <w:rtl w:val="0"/>
        </w:rPr>
        <w:t xml:space="preserve">6.5. hospitalizācijas gadījumu skaita un atkārtošanās samazinājums.</w:t>
      </w:r>
      <w:r>
        <w:tab/>
      </w:r>
      <w:r>
        <w:br/>
      </w:r>
      <w:r>
        <w:tab/>
      </w:r>
      <w:r>
        <w:br/>
      </w:r>
      <w:r w:rsidR="00000000" w:rsidRPr="00000000" w:rsidDel="00000000">
        <w:rPr>
          <w:rtl w:val="0"/>
        </w:rPr>
        <w:t xml:space="preserve">7. Ja farmakoekonomiskā analīze veikta citā valstī, pētījuma rezultātus piemēro Latvijas veselības aprūpes sistēmas nosacījumiem. Būtiskākie izvērtē­jamie kritēriji:</w:t>
      </w:r>
      <w:r>
        <w:tab/>
      </w:r>
      <w:r>
        <w:br/>
      </w:r>
      <w:r>
        <w:tab/>
      </w:r>
      <w:r>
        <w:br/>
      </w:r>
      <w:r w:rsidR="00000000" w:rsidRPr="00000000" w:rsidDel="00000000">
        <w:rPr>
          <w:rtl w:val="0"/>
        </w:rPr>
        <w:t xml:space="preserve">7.1. papildterapijas izvēle un biežums;</w:t>
      </w:r>
      <w:r>
        <w:tab/>
      </w:r>
      <w:r>
        <w:br/>
      </w:r>
      <w:r>
        <w:tab/>
      </w:r>
      <w:r>
        <w:br/>
      </w:r>
      <w:r w:rsidR="00000000" w:rsidRPr="00000000" w:rsidDel="00000000">
        <w:rPr>
          <w:rtl w:val="0"/>
        </w:rPr>
        <w:t xml:space="preserve">7.2. pacientu vecuma un dzimuma īpatsvars;</w:t>
      </w:r>
      <w:r>
        <w:tab/>
      </w:r>
      <w:r>
        <w:br/>
      </w:r>
      <w:r>
        <w:tab/>
      </w:r>
      <w:r>
        <w:br/>
      </w:r>
      <w:r w:rsidR="00000000" w:rsidRPr="00000000" w:rsidDel="00000000">
        <w:rPr>
          <w:rtl w:val="0"/>
        </w:rPr>
        <w:t xml:space="preserve">7.3. pacientu slimības smaguma pakāpes novērtējums;</w:t>
      </w:r>
      <w:r>
        <w:tab/>
      </w:r>
      <w:r>
        <w:br/>
      </w:r>
      <w:r>
        <w:tab/>
      </w:r>
      <w:r>
        <w:br/>
      </w:r>
      <w:r w:rsidR="00000000" w:rsidRPr="00000000" w:rsidDel="00000000">
        <w:rPr>
          <w:rtl w:val="0"/>
        </w:rPr>
        <w:t xml:space="preserve">7.4. salīdzināmās terapijas izvēle.</w:t>
      </w:r>
      <w:r>
        <w:tab/>
      </w:r>
      <w:r>
        <w:br/>
      </w:r>
      <w:r>
        <w:tab/>
      </w:r>
      <w:r>
        <w:br/>
      </w:r>
      <w:r w:rsidR="00000000" w:rsidRPr="00000000" w:rsidDel="00000000">
        <w:rPr>
          <w:rtl w:val="0"/>
        </w:rPr>
        <w:t xml:space="preserve">8. Izmantoto klīnisko pētījumu izvēles kritēriji:</w:t>
      </w:r>
      <w:r>
        <w:tab/>
      </w:r>
      <w:r>
        <w:br/>
      </w:r>
      <w:r>
        <w:tab/>
      </w:r>
      <w:r>
        <w:br/>
      </w:r>
      <w:r w:rsidR="00000000" w:rsidRPr="00000000" w:rsidDel="00000000">
        <w:rPr>
          <w:rtl w:val="0"/>
        </w:rPr>
        <w:t xml:space="preserve">8.1. saprotams pētījuma dizains;</w:t>
      </w:r>
      <w:r>
        <w:tab/>
      </w:r>
      <w:r>
        <w:br/>
      </w:r>
      <w:r>
        <w:tab/>
      </w:r>
      <w:r>
        <w:br/>
      </w:r>
      <w:r w:rsidR="00000000" w:rsidRPr="00000000" w:rsidDel="00000000">
        <w:rPr>
          <w:rtl w:val="0"/>
        </w:rPr>
        <w:t xml:space="preserve">8.2. randomizēti, dubultakli un kontrolēti pētījumi (atklāti pētījumi, ja to izvēle ir pamatota);</w:t>
      </w:r>
      <w:r>
        <w:tab/>
      </w:r>
      <w:r>
        <w:br/>
      </w:r>
      <w:r>
        <w:tab/>
      </w:r>
      <w:r>
        <w:br/>
      </w:r>
      <w:r w:rsidR="00000000" w:rsidRPr="00000000" w:rsidDel="00000000">
        <w:rPr>
          <w:rtl w:val="0"/>
        </w:rPr>
        <w:t xml:space="preserve">8.3. skaidri definēts pētāmais jautājums;</w:t>
      </w:r>
      <w:r>
        <w:tab/>
      </w:r>
      <w:r>
        <w:br/>
      </w:r>
      <w:r>
        <w:tab/>
      </w:r>
      <w:r>
        <w:br/>
      </w:r>
      <w:r w:rsidR="00000000" w:rsidRPr="00000000" w:rsidDel="00000000">
        <w:rPr>
          <w:rtl w:val="0"/>
        </w:rPr>
        <w:t xml:space="preserve">8.4. atbilstoši pamatrādītājiem salīdzināmas pacientu grupas;</w:t>
      </w:r>
      <w:r>
        <w:tab/>
      </w:r>
      <w:r>
        <w:br/>
      </w:r>
      <w:r>
        <w:tab/>
      </w:r>
      <w:r>
        <w:br/>
      </w:r>
      <w:r w:rsidR="00000000" w:rsidRPr="00000000" w:rsidDel="00000000">
        <w:rPr>
          <w:rtl w:val="0"/>
        </w:rPr>
        <w:t xml:space="preserve">8.5. klīniski atbilstošs ārstēšanas kursa nobeigums un ilgums, kas balstīts uz "apzinātas ārstēšanas" analīzi;</w:t>
      </w:r>
      <w:r>
        <w:tab/>
      </w:r>
      <w:r>
        <w:br/>
      </w:r>
      <w:r>
        <w:tab/>
      </w:r>
      <w:r>
        <w:br/>
      </w:r>
      <w:r w:rsidR="00000000" w:rsidRPr="00000000" w:rsidDel="00000000">
        <w:rPr>
          <w:rtl w:val="0"/>
        </w:rPr>
        <w:t xml:space="preserve">8.6. iegūto rezultātu klīniskā un statistiskā nozīmība.</w:t>
      </w:r>
      <w:r>
        <w:tab/>
      </w:r>
      <w:r>
        <w:br/>
      </w:r>
      <w:r>
        <w:tab/>
      </w:r>
      <w:r>
        <w:br/>
      </w:r>
      <w:r w:rsidR="00000000" w:rsidRPr="00000000" w:rsidDel="00000000">
        <w:rPr>
          <w:rtl w:val="0"/>
        </w:rPr>
        <w:t xml:space="preserve">9. Klīnisko pētījumu analīzē drīkst izmantot atsevišķu klīnisko pētījumu vai meta analīzi (vairāku klīnisko pētījumu apkopojumu). Meta analīze palielina iegūto rādītāju precizitāti, nosakot klīniskās atšķirības starp jaunām zālēm un salīdzināmo terapiju. Ja aprēķinu pamatā ir meta analīze, norāda pētījumu atlases kritērijus un veiktos statistiskos testus.</w:t>
      </w:r>
      <w:r>
        <w:tab/>
      </w:r>
      <w:r>
        <w:br/>
      </w:r>
      <w:r>
        <w:tab/>
      </w:r>
      <w:r>
        <w:br/>
      </w:r>
      <w:r w:rsidR="00000000" w:rsidRPr="00000000" w:rsidDel="00000000">
        <w:rPr>
          <w:rtl w:val="0"/>
        </w:rPr>
        <w:t xml:space="preserve">10. Klīnisko pētījumu rezultātus norāda kā iegūto rezultātu atšķirību kop­savilkumu starp jaunajām zālēm un salīdzinošo terapiju. Katrs salīdzinājums ietver šādus datus:</w:t>
      </w:r>
      <w:r>
        <w:tab/>
      </w:r>
      <w:r>
        <w:br/>
      </w:r>
      <w:r>
        <w:tab/>
      </w:r>
      <w:r>
        <w:br/>
      </w:r>
      <w:r w:rsidR="00000000" w:rsidRPr="00000000" w:rsidDel="00000000">
        <w:rPr>
          <w:rtl w:val="0"/>
        </w:rPr>
        <w:t xml:space="preserve">10.1. attiecīgo terapiju saņēmušo pacientu skaits;</w:t>
      </w:r>
      <w:r>
        <w:tab/>
      </w:r>
      <w:r>
        <w:br/>
      </w:r>
      <w:r>
        <w:tab/>
      </w:r>
      <w:r>
        <w:br/>
      </w:r>
      <w:r w:rsidR="00000000" w:rsidRPr="00000000" w:rsidDel="00000000">
        <w:rPr>
          <w:rtl w:val="0"/>
        </w:rPr>
        <w:t xml:space="preserve">10.2. pacientu skaits, kuri pārtraukuši terapiju;</w:t>
      </w:r>
      <w:r>
        <w:tab/>
      </w:r>
      <w:r>
        <w:br/>
      </w:r>
      <w:r>
        <w:tab/>
      </w:r>
      <w:r>
        <w:br/>
      </w:r>
      <w:r w:rsidR="00000000" w:rsidRPr="00000000" w:rsidDel="00000000">
        <w:rPr>
          <w:rtl w:val="0"/>
        </w:rPr>
        <w:t xml:space="preserve">10.3. veiksmīgo un neveiksmīgo gadījumu skaits, kas izteikts kā gadījumu iestāšanās risks jeb attiecība starp gadījumu skaitu grupā un kopējo pacientu skaitu grupā (norādot ticamības intervālu);</w:t>
      </w:r>
      <w:r>
        <w:tab/>
      </w:r>
      <w:r>
        <w:br/>
      </w:r>
      <w:r>
        <w:tab/>
      </w:r>
      <w:r>
        <w:br/>
      </w:r>
      <w:r w:rsidR="00000000" w:rsidRPr="00000000" w:rsidDel="00000000">
        <w:rPr>
          <w:rtl w:val="0"/>
        </w:rPr>
        <w:t xml:space="preserve">10.4. izmaiņas grupas vidējos rādītājos (norādot ticamības intervālu).</w:t>
      </w:r>
      <w:r>
        <w:tab/>
      </w:r>
      <w:r>
        <w:br/>
      </w:r>
      <w:r>
        <w:tab/>
      </w:r>
      <w:r>
        <w:br/>
      </w:r>
      <w:r w:rsidR="00000000" w:rsidRPr="00000000" w:rsidDel="00000000">
        <w:rPr>
          <w:rtl w:val="0"/>
        </w:rPr>
        <w:t xml:space="preserve">11. Lai noteiktu jauno zāļu un salīdzināmās terapijas efektivitātes atšķi­rības, farmakoekonomiskajā analīzē aprēķina un lieto absolūtā riska starpību - starpību starp gadījumu iestāšanās risku pētāmajā grupā un gadījumu iestāšanās risku kontroles grupā. Vienlaikus aprēķina efektivitātes relatīvos rādītājus - attiecību starp gadījumu iestāšanās risku pētāmajā grupā un gadījumu iestāšanās risku kontroles grupā.</w:t>
      </w:r>
      <w:r>
        <w:tab/>
      </w:r>
      <w:r>
        <w:br/>
      </w:r>
      <w:r>
        <w:tab/>
      </w:r>
      <w:r>
        <w:br/>
      </w:r>
      <w:r w:rsidR="00000000" w:rsidRPr="00000000" w:rsidDel="00000000">
        <w:rPr>
          <w:rtl w:val="0"/>
        </w:rPr>
        <w:t xml:space="preserve">12. Farmakoekonomisko analīzi veic, pamatojoties uz veselības aprūpes tiešajām izmaksām. Veselības aprūpes tiešajās izmaksās ietilpst:</w:t>
      </w:r>
      <w:r>
        <w:tab/>
      </w:r>
      <w:r>
        <w:br/>
      </w:r>
      <w:r>
        <w:tab/>
      </w:r>
      <w:r>
        <w:br/>
      </w:r>
      <w:r w:rsidR="00000000" w:rsidRPr="00000000" w:rsidDel="00000000">
        <w:rPr>
          <w:rtl w:val="0"/>
        </w:rPr>
        <w:t xml:space="preserve">12.1. zāļu izmaksas (tai skaitā papildterapijas un blakusparādību ārstēšanas izmaksas);</w:t>
      </w:r>
      <w:r>
        <w:tab/>
      </w:r>
      <w:r>
        <w:br/>
      </w:r>
      <w:r>
        <w:tab/>
      </w:r>
      <w:r>
        <w:br/>
      </w:r>
      <w:r w:rsidR="00000000" w:rsidRPr="00000000" w:rsidDel="00000000">
        <w:rPr>
          <w:rtl w:val="0"/>
        </w:rPr>
        <w:t xml:space="preserve">12.2. medicīnas pakalpojumu izmaksas;</w:t>
      </w:r>
      <w:r>
        <w:tab/>
      </w:r>
      <w:r>
        <w:br/>
      </w:r>
      <w:r>
        <w:tab/>
      </w:r>
      <w:r>
        <w:br/>
      </w:r>
      <w:r w:rsidR="00000000" w:rsidRPr="00000000" w:rsidDel="00000000">
        <w:rPr>
          <w:rtl w:val="0"/>
        </w:rPr>
        <w:t xml:space="preserve">12.3. slimnīcu pakalpojumu izmaksas;</w:t>
      </w:r>
      <w:r>
        <w:tab/>
      </w:r>
      <w:r>
        <w:br/>
      </w:r>
      <w:r>
        <w:tab/>
      </w:r>
      <w:r>
        <w:br/>
      </w:r>
      <w:r w:rsidR="00000000" w:rsidRPr="00000000" w:rsidDel="00000000">
        <w:rPr>
          <w:rtl w:val="0"/>
        </w:rPr>
        <w:t xml:space="preserve">12.4. diagnostisko un laboratorijas izmeklējumu izmaksas;</w:t>
      </w:r>
      <w:r>
        <w:tab/>
      </w:r>
      <w:r>
        <w:br/>
      </w:r>
      <w:r>
        <w:tab/>
      </w:r>
      <w:r>
        <w:br/>
      </w:r>
      <w:r w:rsidR="00000000" w:rsidRPr="00000000" w:rsidDel="00000000">
        <w:rPr>
          <w:rtl w:val="0"/>
        </w:rPr>
        <w:t xml:space="preserve">12.5. jebkuras citas tiešās veselības aprūpes izmaksas.</w:t>
      </w:r>
      <w:r>
        <w:tab/>
      </w:r>
      <w:r>
        <w:br/>
      </w:r>
      <w:r>
        <w:tab/>
      </w:r>
      <w:r>
        <w:br/>
      </w:r>
      <w:r w:rsidR="00000000" w:rsidRPr="00000000" w:rsidDel="00000000">
        <w:rPr>
          <w:rtl w:val="0"/>
        </w:rPr>
        <w:t xml:space="preserve">13. Ja papildus veic farmakoekonomisko analīzi, kas vērsta uz sabiedrību kopumā, tajā iekļauj arī citas izmaksas (tiešās un netiešās izmaksas ārpus veselības aprūpes sistēmas) - sociālo pakalpojumu izmaksas, ar pacienta pārvie­tošanos saistītos izdevumus un citas izmaksas pacientam vai viņa ģimenei.</w:t>
      </w:r>
      <w:r>
        <w:tab/>
      </w:r>
      <w:r>
        <w:br/>
      </w:r>
      <w:r>
        <w:tab/>
      </w:r>
      <w:r>
        <w:br/>
      </w:r>
      <w:r w:rsidR="00000000" w:rsidRPr="00000000" w:rsidDel="00000000">
        <w:rPr>
          <w:rtl w:val="0"/>
        </w:rPr>
        <w:t xml:space="preserve">14. Ja farmakoekonomisko analīzi veic, izmantojot ārvalstīs veiktus ekono­miskos pētījumus, visas izmaksas koriģē atbilstoši vietējās veselības aprūpes nosacījumiem, kā arī norāda attiecīgos datu ieguves avotus. Izmaksas koriģē saskaņā ar šādiem principiem:</w:t>
      </w:r>
      <w:r>
        <w:tab/>
      </w:r>
      <w:r>
        <w:br/>
      </w:r>
      <w:r>
        <w:tab/>
      </w:r>
      <w:r>
        <w:br/>
      </w:r>
      <w:r w:rsidR="00000000" w:rsidRPr="00000000" w:rsidDel="00000000">
        <w:rPr>
          <w:rtl w:val="0"/>
        </w:rPr>
        <w:t xml:space="preserve">14.1. nosaka tās farmakoekonomiskā pētījuma izmaksu pozīcijas, kuras atbilst attiecīgās valsts praksei;</w:t>
      </w:r>
      <w:r>
        <w:tab/>
      </w:r>
      <w:r>
        <w:br/>
      </w:r>
      <w:r>
        <w:tab/>
      </w:r>
      <w:r>
        <w:br/>
      </w:r>
      <w:r w:rsidR="00000000" w:rsidRPr="00000000" w:rsidDel="00000000">
        <w:rPr>
          <w:rtl w:val="0"/>
        </w:rPr>
        <w:t xml:space="preserve">14.2. nosaka izmaksu vienību skaitu (piemēram, konsultāciju skaits, gultas dienu skaits);</w:t>
      </w:r>
      <w:r>
        <w:tab/>
      </w:r>
      <w:r>
        <w:br/>
      </w:r>
      <w:r>
        <w:tab/>
      </w:r>
      <w:r>
        <w:br/>
      </w:r>
      <w:r w:rsidR="00000000" w:rsidRPr="00000000" w:rsidDel="00000000">
        <w:rPr>
          <w:rtl w:val="0"/>
        </w:rPr>
        <w:t xml:space="preserve">14.3. norāda izmaiņas izmaksās par vienu vienību;</w:t>
      </w:r>
      <w:r>
        <w:tab/>
      </w:r>
      <w:r>
        <w:br/>
      </w:r>
      <w:r>
        <w:tab/>
      </w:r>
      <w:r>
        <w:br/>
      </w:r>
      <w:r w:rsidR="00000000" w:rsidRPr="00000000" w:rsidDel="00000000">
        <w:rPr>
          <w:rtl w:val="0"/>
        </w:rPr>
        <w:t xml:space="preserve">14.4. visas izmaksas norāda </w:t>
      </w:r>
      <w:r w:rsidR="00000000" w:rsidRPr="00000000" w:rsidDel="00000000">
        <w:rPr>
          <w:i w:val="1"/>
          <w:rtl w:val="0"/>
        </w:rPr>
        <w:t xml:space="preserve">euro</w:t>
      </w:r>
      <w:r w:rsidR="00000000" w:rsidRPr="00000000" w:rsidDel="00000000">
        <w:rPr>
          <w:rtl w:val="0"/>
        </w:rPr>
        <w:t xml:space="preserve">.</w:t>
      </w:r>
      <w:r>
        <w:tab/>
      </w:r>
      <w:r>
        <w:br/>
      </w:r>
      <w:r>
        <w:tab/>
      </w:r>
      <w:r>
        <w:br/>
      </w:r>
      <w:r w:rsidR="00000000" w:rsidRPr="00000000" w:rsidDel="00000000">
        <w:rPr>
          <w:rtl w:val="0"/>
        </w:rPr>
        <w:t xml:space="preserve">15. Ja aprēķinos iekļauj tiešās vai netiešās izmaksas ārpus veselības aprūpes, tās norāda atsevišķi un aprēķinus veic nodalīti no citiem, iekļaujot:</w:t>
      </w:r>
      <w:r>
        <w:tab/>
      </w:r>
      <w:r>
        <w:br/>
      </w:r>
      <w:r>
        <w:tab/>
      </w:r>
      <w:r>
        <w:br/>
      </w:r>
      <w:r w:rsidR="00000000" w:rsidRPr="00000000" w:rsidDel="00000000">
        <w:rPr>
          <w:rtl w:val="0"/>
        </w:rPr>
        <w:t xml:space="preserve">15.1. tiešās veselības aprūpes izmaksas;</w:t>
      </w:r>
      <w:r>
        <w:tab/>
      </w:r>
      <w:r>
        <w:br/>
      </w:r>
      <w:r>
        <w:tab/>
      </w:r>
      <w:r>
        <w:br/>
      </w:r>
      <w:r w:rsidR="00000000" w:rsidRPr="00000000" w:rsidDel="00000000">
        <w:rPr>
          <w:rtl w:val="0"/>
        </w:rPr>
        <w:t xml:space="preserve">15.2. tiešās izmaksas ārpus veselības aprūpes sistēmas;</w:t>
      </w:r>
      <w:r>
        <w:tab/>
      </w:r>
      <w:r>
        <w:br/>
      </w:r>
      <w:r>
        <w:tab/>
      </w:r>
      <w:r>
        <w:br/>
      </w:r>
      <w:r w:rsidR="00000000" w:rsidRPr="00000000" w:rsidDel="00000000">
        <w:rPr>
          <w:rtl w:val="0"/>
        </w:rPr>
        <w:t xml:space="preserve">15.3. netiešās izmaksas ārpus veselības aprūpes sistēmas.</w:t>
      </w:r>
      <w:r>
        <w:tab/>
      </w:r>
      <w:r>
        <w:br/>
      </w:r>
      <w:r>
        <w:tab/>
      </w:r>
      <w:r>
        <w:br/>
      </w:r>
      <w:r w:rsidR="00000000" w:rsidRPr="00000000" w:rsidDel="00000000">
        <w:rPr>
          <w:rtl w:val="0"/>
        </w:rPr>
        <w:t xml:space="preserve">16. Rezultātu kopsavilkuma analīzē parāda šādus atbilstošo alternatīvu lietošanas salīdzinājuma rādītājus:</w:t>
      </w:r>
      <w:r>
        <w:tab/>
      </w:r>
      <w:r>
        <w:br/>
      </w:r>
      <w:r>
        <w:tab/>
      </w:r>
      <w:r>
        <w:br/>
      </w:r>
      <w:r w:rsidR="00000000" w:rsidRPr="00000000" w:rsidDel="00000000">
        <w:rPr>
          <w:rtl w:val="0"/>
        </w:rPr>
        <w:t xml:space="preserve">16.1. norāda terapijas izmaksas par iegūtā rezultāta vienību katrai alternatīvai – izmaksas par iegūtu dzīves gadu, iegūtu dzīves gadu bez slimības progresijas vai, ja minētie rādītāji nav pieejami, par iegūtu kvalitatīvu dzīves gadu;</w:t>
      </w:r>
      <w:r>
        <w:tab/>
      </w:r>
      <w:r>
        <w:br/>
      </w:r>
      <w:r>
        <w:tab/>
      </w:r>
      <w:r>
        <w:br/>
      </w:r>
      <w:r w:rsidR="00000000" w:rsidRPr="00000000" w:rsidDel="00000000">
        <w:rPr>
          <w:rtl w:val="0"/>
        </w:rPr>
        <w:t xml:space="preserve">16.2. izmaksu efektivitātes vai izmaksu lietderīguma analīzē aprēķina izmaksu efektivitātes pieauguma rādītāju par papildus iegūtu dzīves gadu, iegūtu dzīves gadu bez slimības progresijas vai, ja minētie rādītāji nav pieejami, par papildus iegūtu kvalitatīvu dzīves gadu, lai parādītu izmaksu atšķirības viena papildus iegūtā rezultāta sasniegšanai ar jaunajām zālēm;</w:t>
      </w:r>
      <w:r>
        <w:tab/>
      </w:r>
      <w:r>
        <w:br/>
      </w:r>
      <w:r>
        <w:tab/>
      </w:r>
      <w:r>
        <w:br/>
      </w:r>
      <w:r w:rsidR="00000000" w:rsidRPr="00000000" w:rsidDel="00000000">
        <w:rPr>
          <w:rtl w:val="0"/>
        </w:rPr>
        <w:t xml:space="preserve">16.3. aprēķina abu salīdzināmo terapiju kopējās izmaksas un kopējos ieguvumus veselības aprūpes sistēmai. Norāda kopējos līdzekļu ietaupījumus veselības aprūpē, ja tādi ir.</w:t>
      </w:r>
      <w:r>
        <w:tab/>
      </w:r>
      <w:r>
        <w:br/>
      </w:r>
      <w:r>
        <w:tab/>
      </w:r>
      <w:r>
        <w:br/>
      </w:r>
      <w:r w:rsidR="00000000" w:rsidRPr="00000000" w:rsidDel="00000000">
        <w:rPr>
          <w:rtl w:val="0"/>
        </w:rPr>
        <w:t xml:space="preserve">17. Farmakoekonomiskajā analīzē ietver izmaksu un ieguvumu diskontē­šanu, kas ir ekonomiskās analīzes standarta iezīme. Nākotnes izmaksas un iegu­vumus diskontē attiecīgi par 5 % gadā. Ja izmanto citu diskonta likmi, pamato to.</w:t>
      </w:r>
      <w:r>
        <w:tab/>
      </w:r>
      <w:r>
        <w:br/>
      </w:r>
      <w:r>
        <w:tab/>
      </w:r>
      <w:r>
        <w:br/>
      </w:r>
      <w:r w:rsidR="00000000" w:rsidRPr="00000000" w:rsidDel="00000000">
        <w:rPr>
          <w:rtl w:val="0"/>
        </w:rPr>
        <w:t xml:space="preserve">18. Sensitivitātes (jutīguma) analīzi izmanto, lai noteiktu, cik lielā mērā analīzē iegūtie rezultāti ir atkarīgi no ietekmējošo faktoru izmaiņām (piemēram, terapeitiskā rezultāta iestāšanās laiks, slimības prevalence (pacientu skaits popu­lācijā), slimības incidence (jaunu gadījumu skaits gadā)). Sensitivitātes analīzē norāda izmantotos statistiskos testus un galveno mainīgo lielumu ticamības intervālus.</w:t>
      </w:r>
      <w:r>
        <w:tab/>
      </w:r>
      <w:r>
        <w:br/>
      </w:r>
      <w:r>
        <w:tab/>
      </w:r>
      <w:r>
        <w:br/>
      </w:r>
      <w:r w:rsidR="00000000" w:rsidRPr="00000000" w:rsidDel="00000000">
        <w:rPr>
          <w:rtl w:val="0"/>
        </w:rPr>
        <w:t xml:space="preserve">19. Ja farmakoekonomisko analīzi nav iespējams veikt saskaņā ar šajā pielikumā minētajām metodēm, var izmantot ekonomiskās modelēšanas tehniku (piemēram, lai izveidotu pietiekamu analīzes perioda garumu, ja klīniskie dati iegūti pārāk īsā laikposmā; ja klīniskais pētījums ir veikts atšķirīgas sistēmas ietvaros). Ekonomisko modeli prezentē tā, lai veikto analīzi būtu iespējams pār­baudīt, vienlaikus iesniedzot datu izklājlapas elektroniskā veidā vai izmantoto programmatūru. Modelī izmantotos efektivitātes un izmaksu rādītājus pamato. Ekonomiskajā modelī izmanto zinātniski pamatotus datus.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23-TA-1805</w:t>
    </w:r>
    <w:r>
      <w:br/>
    </w:r>
    <w:r w:rsidR="00000000" w:rsidRPr="00000000" w:rsidDel="00000000">
      <w:rPr>
        <w:rtl w:val="0"/>
      </w:rPr>
      <w:t xml:space="preserve">Izdrukāts 29.07.2026. 22.14 - 1.0.VK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23-TA-1805</w:t>
    </w:r>
    <w:r>
      <w:br/>
    </w:r>
    <w:r w:rsidR="00000000" w:rsidRPr="00000000" w:rsidDel="00000000">
      <w:rPr>
        <w:rtl w:val="0"/>
      </w:rPr>
      <w:t xml:space="preserve">Izdrukāts 29.07.2026. 22.14 - 1.0.VK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noteikumu_konsolidētā_versija_p3_23-TA-1805.docx</dc:title>
</cp:coreProperties>
</file>

<file path=docProps/custom.xml><?xml version="1.0" encoding="utf-8"?>
<Properties xmlns="http://schemas.openxmlformats.org/officeDocument/2006/custom-properties" xmlns:vt="http://schemas.openxmlformats.org/officeDocument/2006/docPropsVTypes"/>
</file>