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8. jūlijā (prot. Nr. 36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23.00.00 "Valsts atbalsta programmas un citi valsts nozīmes pasākumi"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2026. gadam un budžeta ietvaru 2026., 2027. un 2028. gadam'' 72. pantam atbalstīt apropriācijas pārdali 2026. gadam 104 744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23.00.00 "Valsts atbalsta programmas un citi valsts nozīmes pasākumi" uz Veselības ministrijas (Nacionālā veselības dienesta) budžeta apakšprogrammu 33.21.00 "Stacionāro veselības aprūpes pakalpojumu nodrošināšana", lai no 2026. gada 1. oktobra nodrošinātu sabiedrības ar ierobežotu atbildību "Rīgas Austrumu klīniskā universitātes slimnīca" Seksuālā vardarbībā cietušo personu atbalsta centra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veselības dienests, piešķirot publiskos resursus šā rīkojuma 1. punktā minētajam mērķim, lai nodrošinātu un uzlabotu valsts apmaksātos veselības aprūpes pakalpojumus, ievēro komercdarbības atbalsta regulējuma vispārējās prasības tautsaimnieciskas nozīmes pakalpojumu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26-TA-1236</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26-TA-1236</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rīkojuma_projekts_26-TA-1236.docx</dc:title>
</cp:coreProperties>
</file>

<file path=docProps/custom.xml><?xml version="1.0" encoding="utf-8"?>
<Properties xmlns="http://schemas.openxmlformats.org/officeDocument/2006/custom-properties" xmlns:vt="http://schemas.openxmlformats.org/officeDocument/2006/docPropsVTypes"/>
</file>