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80.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(Latvijas Vēstnesis, 2022, 182.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pamatojoties uz finansējuma saņēmēja rakstisku avansa pieprasījumu un izvērtējot plānotā avansa apmēru, tā pamatojumu un spēju to izlietot deviņu mēnešu laikā saimnieciskā gada ietvaros (pabeigts būvdarbu iepirkums vai noslēgts būvdarbu līgums), var piešķirt finansējuma saņēmējam avansu līdz 50 procentiem no projekta AF finansējuma apjoma pēc civiltiesiskā līguma vai vienošanās par projekta īstenošanu noslēgšanas un 40 procentus no projekta AF finansējuma apjoma pēc nomas vai apbūves tiesības līguma noslēgšanas ar industriālā parka operatoru vai komersantu, kas lietos projekta ietvaros izbūvēto infrastruktūru un apņemas sasniegt projekta mērķus saskaņā ar šo noteikumu 37.1. un 37.3. apakšpunktā minētajiem nosacījumiem. Atlikušo projekta AF finansējuma daļu, kas ir vismaz 10 procenti no projektam piešķirtā AF finansējuma apjoma (saskaņā ar faktiskajām projekta izmaksām un nepārsniedzot projektam piešķirto AF finansējuma apjomu), finansējuma saņēmējs saņem pēc tam, kad aģentūra pārliecinās par industriālā parka izveidi vai attīstību, ko apliecina projektā paredzēto būvdarbu pabeigšana un projekta mērķu sasniegšana."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pabeigta industriālo parku būvniecība reģionos, kur tiek attīstīta publiskā infrastruktūra (mērķis): līdz 2026. gada 30. jūnijam pabeigta vismaz četru nacionālo industriālo parku un teritoriju būvniecība reģionos, tostarp nepieciešamo rūpniecisko savienojumu (siltumapgāde, ūdensapgāde un kanalizācija, elektroenerģija) izveide un ar tiem saistītās jaudas palielināšana, piekļuves ceļu atjaunošana vai ierīkošana pie industriālajiem parkiem, kā arī komerciāliem nolūkiem paredzēto ēku un ar tām saistītās infrastruktūras attīstīšana;".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11.3. apakšpunktā minētais mērķis ir izpildīts, kad tiek pamatoti pabeigti būvdarbi, attīstīti vismaz četri komersantu pieprasījumā balstīti, darboties spējīgi nacionālas nozīmes industriālie parki reģionos, kuros ir nodrošināta attīstītās industriālās teritorijas funkcionalitāte, tai skaitā pabeigta nepieciešamo industriālo pieslēgumu (siltumapgāde, ūdensapgāde un kanalizācija, elektroenerģija) ierīkošana vai to saistītās jaudas palielināšana, pievedceļu atjaunošana vai ierīkošana pie industriālajām teritorijām, kā arī ražošanas ēku un ar tām saistītās infrastruktūras attīstīšana, kas tiek pamatota ar šo noteikumu 37.2. apakšpunktā minētajiem būvdarbu pabeigšanu pamatojošiem dokumentiem, saskaņā ar būvniecības jomu reglamentējošajos normatīvajos aktos noteikto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11.4. apakšpunktā minētā mērķa izpilde tiek pamatota ar finansējuma saņēmēja iesniegtu pārskatu par projekta ietvaros attīstītā industriālā parka teritorijā radītajām jaunajām darba vietām, kuram pievieno noslēgto darba līgumu vai publicēto vakanču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Par investīcijas ieviešanu atbildīgā nozares ministrija ir Viedās administrācijas un reģionālās attīstības ministrija, kas sadarbībā ar Ekonomikas ministriju nodrošina investīcijas ieviešanu saskaņā ar normatīvajiem aktiem AF plāna īstenošanas un uzraudzības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nodrošināt projektu īstenošanas uzraudzību saskaņā ar normatīvajiem aktiem AF plāna īstenošanas un uzraudzības jomā, tai skaitā pārbaudīt, vai projekta vērtēšanā un īstenošanā nav konstatējamas pazīmes par pieļautu interešu konflikta, korupcijas, krāpšanas un dubultā finansējuma situāciju, kā arī nodrošināt komercdarbības atbalsta nosacījumu ievērošanas uzraudzību un nelikumīgi piešķirta komercdarbības atbalsta atgūšanu (ja attiecināms). Aģentūra un Viedās administrācijas un reģionālās attīstības ministrija slēdz starpresoru vienošanos par sadarbību šo noteikumu 18. punktā minēto pienākumu izpildē;".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Projekta iesniedzējs kopā ar projekta iesniegumu iesniedz industriālā parka attīstības stratēģiju, kas izstrādāta saskaņā ar pašvaldības attīstības programmu un apstiprināta pašvaldības domes sēdē. Industriālā parka attīstības stratēģijā norāda projekta teritoriju un risinājumu, kura īstenošanas rezultātā tiks izveidots darboties spējīgs industriālais parks, nodrošinot projektā attīstītās industriālās teritorijas funkcionalitāti. Netiek atbalstītas atsevišķas darbības, piemēram, tādas ēkas attīstīšana, kurai nav pievedceļa vai komersanta ražošanas attīstībai nepieciešamo inženierkomunikāciju. Viedās administrācijas un reģionālās attīstības ministrija sniedz pašvaldībām metodisko atbalstu industriālā parka attīstības stratēģijas izstrādē."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līdz 2026. gada 30. jūnijam ir pabeigti būvdarbi, attīstīts komersantu pieprasījumā balstīts, darboties spējīgs nacionālas nozīmes industriālais parks, nodrošinot projektā paredzēto attīstītās industriālās teritorijas funkcionalitāti. Mērķa izpilde tiek pamatota ar apliecinājumu par inženierbūves gatavību ekspluatācijai vai apliecinājumu par ēkas vai tās daļas gatavību ekspluatācijai saskaņā ar būvniecības jomu reglamentējošajos normatīvajos aktos noteikto kārtību un aģentūras veikto attiecīgās dokumentācijas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"37.3. ievērojot minimālo attiecību starp investīcijai pieejamo kopējo AF finansējumu un investīcijas ietvaros kopējo sasniedzamo mērķa vērtību, līdz 2026. gada 31. jūlijam projekta ietvaros attīstītā industriālā parka teritorijā ir radīta vismaz 41 jauna darba vieta (ja iesniedz projektu ar minimālo AF finansējumu 10 000 000 </w:t>
      </w:r>
      <w:r w:rsidR="00000000" w:rsidRPr="00000000" w:rsidDel="00000000">
        <w:rPr>
          <w:i w:val="1"/>
          <w:rtl w:val="0"/>
        </w:rPr>
        <w:t xml:space="preserve">euro </w:t>
      </w:r>
      <w:r w:rsidR="00000000" w:rsidRPr="00000000" w:rsidDel="00000000">
        <w:rPr>
          <w:rtl w:val="0"/>
        </w:rPr>
        <w:t xml:space="preserve">apmērā) vai vismaz 82 jaunas darba vietas (ja iesniedz projektu ar maksimālo AF finansējumu 20 000 000 </w:t>
      </w:r>
      <w:r w:rsidR="00000000" w:rsidRPr="00000000" w:rsidDel="00000000">
        <w:rPr>
          <w:i w:val="1"/>
          <w:rtl w:val="0"/>
        </w:rPr>
        <w:t xml:space="preserve">euro </w:t>
      </w:r>
      <w:r w:rsidR="00000000" w:rsidRPr="00000000" w:rsidDel="00000000">
        <w:rPr>
          <w:rtl w:val="0"/>
        </w:rPr>
        <w:t xml:space="preserve">apmērā) ar vidējo darba algu, kas pārsniedz vidējo darba samaksu attiecīgajā tautsaimniecības nozarē saskaņā ar projekta iesniegšanas brīdī pieejamo aktuālo informāciju par darba samaksu attiecīgajā plānošanas reģionā, nodrošinot, ka vidējā darba alga nav mazāka par vidējo darba samaksu valstī 2020. gadā. Mērķa izpilde tiek pamatota ar finansējuma saņēmēja iesniegtu pārskatu, kuram pievieno noslēgto darba līgumu vai publicēto vakanču sarakstu un kuru pēc iesniegto datu atbilstības pārbaudes apstiprina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Ja tiek pārkāpti regulas Nr. 651/2014 nosacījumi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pārkāpti regulas Nr. 1407/2013 nosacījumi, aģentūra finansējuma saņēmējam un sadarbības partnerim uzliek par pienākumu atmaksāt aģentūrai projekta ietvaros saņemto nelikumīgo </w:t>
      </w:r>
      <w:r w:rsidR="00000000" w:rsidRPr="00000000" w:rsidDel="00000000">
        <w:rPr>
          <w:i w:val="1"/>
          <w:rtl w:val="0"/>
        </w:rPr>
        <w:t xml:space="preserve">de minimis </w:t>
      </w:r>
      <w:r w:rsidR="00000000" w:rsidRPr="00000000" w:rsidDel="00000000">
        <w:rPr>
          <w:rtl w:val="0"/>
        </w:rPr>
        <w:t xml:space="preserve">atbalstu. Atmaksu veic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Projektu iesniegumu vērtēšanai aģentūra izveido projektu iesniegumu vērtēšanas komisiju, kuras sastāvā ir aģentūras pārstāvji, divi Viedās administrācijas un reģionālās attīstības ministrijas pārstāvji (par investīciju politiku reģionālās attīstības jomā atbildīgās struktūrvienības pārstāvis un par reģionālās attīstības politiku atbildīgās struktūrvienības pārstāvis), kā arī viens Ekonomikas ministrijas pārstāvis (par industrijas, pakalpojumu un uzņēmējdarbības politiku atbildīgās struktūrvienības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Ja finansējuma saņēmējam saskaņā ar šo noteikumu 10. punktu ir piešķirts avansa maksājums projekta īstenošanai, finansējuma saņēmējs iesniedz aģentūrā maksājuma pieprasījumu piešķirtā avansa maksājuma apmērā deviņu mēnešu laikā pēc avansa maksājuma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Ja finansējuma saņēmējs neizlieto avansu deviņu mēnešu laikā, aģentūra samazina AF finansējuma apmēru par summu, ko finansējuma saņēmējs saņēmis no kredītiestādes par avansa atrašanos finansējuma saņēmēja kontā kredītiestādē laikā no avansa saņemšanas dienas līdz avansa izlietošanai noteiktajam termiņam. Finansējuma saņēmējs nākamajam maksājuma pieprasījumam pievieno kredītiestādes izziņu par avansa izlietošanai noteiktajā periodā gūtajiem ieņēmumiem no avansa summas atrašanās finansējuma saņēmēja kontā kredītiestādē."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Projektus īsteno ne ilgāk kā līdz 2025. gada 31. decembrim. Finansējuma saņēmējs var lūgt aģentūru, pamatojot objektīvu nepieciešamību, pagarināt projekta darbību īstenošanas termiņu, bet ne ilgāk kā līdz 2026. gada 30. jūnijam un maksājumus projektos veikt ne ilgāk kā līdz 2026.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Ja aģentūra konstatē būtiskus pārkāpumus projekta īstenošanas laikā vai konstatē, ka nav nodrošināta projekta mērķu sasniegšana un projekta īstenošanas rezultātā nav izveidots darboties spējīgs industriālais parks un nav nodrošināta attīstītās industriālās teritorijas funkcionalitāte atbilstoši industriālā parka attīstības stratēģijā paredzētajam, aģentūra, izvērtējot no finansējuma saņēmēja saņemto un aģentūras rīcībā esošo informāciju, var pieņemt lēmumu par AF finansējuma maksājumu apturēšanu vai atgūšanu no finansējuma saņēmēja saskaņā ar civiltiesisko līgumu vai vienošanos par projekta īstenošanu un ievērojot šo noteikumu 18.6. apakšpunktā minētos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24-TA-2199</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24-TA-2199</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noteikumu_(grozījumu)_projekts_24-TA-2199.docx</dc:title>
</cp:coreProperties>
</file>

<file path=docProps/custom.xml><?xml version="1.0" encoding="utf-8"?>
<Properties xmlns="http://schemas.openxmlformats.org/officeDocument/2006/custom-properties" xmlns:vt="http://schemas.openxmlformats.org/officeDocument/2006/docPropsVTypes"/>
</file>