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 jūlija noteikumos Nr. 404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 jūlija noteikumos Nr. 404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 (Latvijas Vēstnesis, 2025, 126.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otrajai kārtai kopējais pieejamais attiecināmais finansējums ir ne mazāk kā 6 065 918 </w:t>
      </w:r>
      <w:r w:rsidR="00000000" w:rsidRPr="00000000" w:rsidDel="00000000">
        <w:rPr>
          <w:i w:val="1"/>
          <w:rtl w:val="0"/>
        </w:rPr>
        <w:t xml:space="preserve">euro</w:t>
      </w:r>
      <w:r w:rsidR="00000000" w:rsidRPr="00000000" w:rsidDel="00000000">
        <w:rPr>
          <w:rtl w:val="0"/>
        </w:rPr>
        <w:t xml:space="preserve">, ko veido publiskais finansējums 5 762 620 </w:t>
      </w:r>
      <w:r w:rsidR="00000000" w:rsidRPr="00000000" w:rsidDel="00000000">
        <w:rPr>
          <w:i w:val="1"/>
          <w:rtl w:val="0"/>
        </w:rPr>
        <w:t xml:space="preserve">euro </w:t>
      </w:r>
      <w:r w:rsidR="00000000" w:rsidRPr="00000000" w:rsidDel="00000000">
        <w:rPr>
          <w:rtl w:val="0"/>
        </w:rPr>
        <w:t xml:space="preserve">apmērā (tai skaitā Eiropas Sociālā fonda Plus finansējums – 4 898 227 </w:t>
      </w:r>
      <w:r w:rsidR="00000000" w:rsidRPr="00000000" w:rsidDel="00000000">
        <w:rPr>
          <w:i w:val="1"/>
          <w:rtl w:val="0"/>
        </w:rPr>
        <w:t xml:space="preserve">euro </w:t>
      </w:r>
      <w:r w:rsidR="00000000" w:rsidRPr="00000000" w:rsidDel="00000000">
        <w:rPr>
          <w:rtl w:val="0"/>
        </w:rPr>
        <w:t xml:space="preserve">un valsts budžeta līdzfinansējums – 864 393 </w:t>
      </w:r>
      <w:r w:rsidR="00000000" w:rsidRPr="00000000" w:rsidDel="00000000">
        <w:rPr>
          <w:i w:val="1"/>
          <w:rtl w:val="0"/>
        </w:rPr>
        <w:t xml:space="preserve">euro</w:t>
      </w:r>
      <w:r w:rsidR="00000000" w:rsidRPr="00000000" w:rsidDel="00000000">
        <w:rPr>
          <w:rtl w:val="0"/>
        </w:rPr>
        <w:t xml:space="preserve">) un privātais finansējums ne mazāk kā 303 298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Pasākuma otrās kārtas ietvaros noteikti šādi izmaksu ierobežojumi no projekta plānotajām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šo noteikumu 28.1. apakšpunktā minētajām projekta iesniegumu pamatojošās dokumentācijas sagatavošanas izmaksām – ne vairāk kā 50 000 </w:t>
      </w:r>
      <w:r w:rsidR="00000000" w:rsidRPr="00000000" w:rsidDel="00000000">
        <w:rPr>
          <w:i w:val="1"/>
          <w:rtl w:val="0"/>
        </w:rPr>
        <w:t xml:space="preserve">euro </w:t>
      </w:r>
      <w:r w:rsidR="00000000" w:rsidRPr="00000000" w:rsidDel="00000000">
        <w:rPr>
          <w:rtl w:val="0"/>
        </w:rPr>
        <w:t xml:space="preserve">no projekta iesniegumā apstiprinātajām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šo noteikumu 28.6. un 29.5. apakšpunktā minēto semināru, darba grupu, pieredzes apmaiņas, konferenču un informatīvo pasākumu izmaksām – ne vairāk kā 10 procenti no kopējām projekta iesniegumā apstiprinātajām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šo noteikumu 29.6. apakšpunktā un 30. punktā minēto mācību izmaksām – ne mazāk kā 50 procenti no kopējām projekta iesniegumā apstiprinātajām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līdz 2027. gada 31. maijam saskaņo ziņojumu par prasmju fonda pilotprojekta rezultātiem un priekšlikumiem tā darbības pilnveidošanai un turpmākai īstenošanai līdz 2029. gadam, tajā ietverot vismaz informāciju par īstenotajiem mācību un citiem atbalsta pasākumiem un par valsts un privāto līdzieguldījumu proporcionalitāti un dinamiku, pamatojot to ar atbilstošiem dokumentiem, aprakstot sadarbības modeli starp komersantiem un darba ņēmēju organizācijām, tostarp norādot katra lomu un pienākumus lēmuma pieņemšanā par mācību vajadzībām un citiem atbalsta pasākumiem, kā arī identificē un sagatavo kopīgu mācību vajadzību redzējumu, tostarp par nākotnes prasmēm nozarē un saistītajās nozarēs, kā arī sniedz priekšlikumus nepieciešamajām izmaiņām normatīvajā regulējumā;".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Ja tiek pārkāpti Komisijas regulas Nr. 2023/2831 nosacījumi, komersantam ir pienākums atmaksāt prasmju fonda pārvaldītājam projekta ietvaros saņemto nelikumīgo komercdarbības atbalstu kopā ar procentiem no līdzekļiem, kas ir brīvi no komercdarbības atbalsta, atbilstoši Komercdarbības atbalsta kontroles likuma IV vai V nodaļas nosacījumiem. No komersanta atgūto nelikumīgo komercdarbības</w:t>
      </w:r>
      <w:r w:rsidR="00000000" w:rsidRPr="00000000" w:rsidDel="00000000">
        <w:rPr>
          <w:i w:val="1"/>
          <w:rtl w:val="0"/>
        </w:rPr>
        <w:t xml:space="preserve"> </w:t>
      </w:r>
      <w:r w:rsidR="00000000" w:rsidRPr="00000000" w:rsidDel="00000000">
        <w:rPr>
          <w:rtl w:val="0"/>
        </w:rPr>
        <w:t xml:space="preserve">atbalstu prasmju fonda pārvaldītājs var atkārtoti piešķirt atbalsta programmas ietvaros citam komersantam. Ja no komersanta atgūto nelikumīgo komercdarbības atbalstu prasmju fonda pārvaldītājs atbalsta programmas ietvaros nepiešķir citam komersantam, tad prasmju fonda pārvaldītājam ir pienākums to atmaksāt sadarbības iestādei."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26-TA-894</w:t>
    </w:r>
    <w:r>
      <w:br/>
    </w:r>
    <w:r w:rsidR="00000000" w:rsidRPr="00000000" w:rsidDel="00000000">
      <w:rPr>
        <w:rtl w:val="0"/>
      </w:rPr>
      <w:t xml:space="preserve">Izdrukāts 18.08.2026. 15.33 - 1.0.VK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26-TA-894</w:t>
    </w:r>
    <w:r>
      <w:br/>
    </w:r>
    <w:r w:rsidR="00000000" w:rsidRPr="00000000" w:rsidDel="00000000">
      <w:rPr>
        <w:rtl w:val="0"/>
      </w:rPr>
      <w:t xml:space="preserve">Izdrukāts 18.08.2026. 15.33 - 1.0.VK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noteikumu_(grozījumu)_projekts_26-TA-894.docx</dc:title>
</cp:coreProperties>
</file>

<file path=docProps/custom.xml><?xml version="1.0" encoding="utf-8"?>
<Properties xmlns="http://schemas.openxmlformats.org/officeDocument/2006/custom-properties" xmlns:vt="http://schemas.openxmlformats.org/officeDocument/2006/docPropsVTypes"/>
</file>