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piešķirts un administrēts atbalsts energoietilpīgiem apstrādes rūpniecības komersantiem, lai mazinātu Krievijas militārās agresijas pret Ukrainu radītās sekas uz ekonomiku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pieejamo finansējumu, nosacījumus un kārtību, kādā tiek piešķirts un administrēts atbalsts, kā arī neatbalstāmās nozares un darbības energoietilpīgajiem apstrādes rūpniecības komersantiem (turpmāk – komersants), kurus ietekmējušas pret Ukrainu vērstās Krievijas militārās agresijas sekas, kas izpaužas kā papildu izmaksas par energoresursiem to krasā cenu pieauguma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komersantiem piešķir granta veidā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otrajai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pieejamais valsts budžeta finansējums 2022. gadā ir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periods ir no 2022. gada 1. februāra līdz 2022.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ietvaros atbalstu piešķir komersantam, kas atbilst visiem šiem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veic saimniecisko pamatdarbību kādā no šo noteikumu pielikumā minētajām nozarēm atbilstoši Eiropas Savienības Saimniecisko darbību statistiskās klasifikācijas NACE 2. redakcijai un tās kodam (turpmāk – NACE 2. 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energoresursu izmaksas ir vismaz 3 % no kopējām komersanta saimnieciskās darbības izmaksām 2021.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elektroenerģijas vai kopējais dabasgāzes patēriņš komersanta vajadzībām 2021. gadā bija vismaz 500 megavatstundas (MWh).</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aprēķina, pamatojoties uz dabasgāzes un elektroenerģijas izmaksu pieaugumu, un nosaka kā starpību starp cenu par vienību konkrētā mēnesī, ko komersants kā galapatērētājs ir iepircis no ārējiem piegādātājiem laikposmā no 2022. gada 1. februāra līdz 2022. gada 31. decembrim, un divkāršotu (200 %) vidējo cenu par vienību, ko komersants maksājis atsauces periodā no 2021. gada 1. janvāra līdz 2021. gada 31. decembrim. No 2022. gada 1. septembra dabasgāzes un elektroenerģijas daudzums, ko izmanto, lai aprēķinātu attiecināmās izmaksas, nedrīkst pārsniegt 70 % no saņēmēja patēriņa tajā pašā periodā 2021. gadā. Aprēķinā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(p(t) – p(ref) × 2) × q(t),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vienības cena par dabasgāzi vai elektroenerģiju;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patērētais daudzums;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ref – atsauces periods no 2021. gada 1. janvāra līdz 2021. gada 31.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konkrētais mēnesis laikposmā no 2022. gada 1. februāra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Vienam komersantam kopējā atbalsta intensitāte nepārsniedz 30 % no dabasgāzes un elektroenerģijas attiecināmajām izmaksām un kopējais atbalsts nepārsniedz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var saņemt avansa maksājumu, ja atbalsts ir piešķirts, pirms radušās attiecināmās izmaksas. Lai saņemtu avansa maksājumu, Būvniecības valsts kontroles birojs (turpmāk – birojs) izmanto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attiecināmo izmaksu aprēķinus ar nosacījumu, ka tiek ievēroti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minētie maksimālie apmēri. Birojs pārbauda attiecīgos maksimālos apmērus, pamatojoties uz faktiskajām izmaksām, un atgūst visus atbalsta maksājumus, kuri pārsniedz minētos maksimālos apmērus, sešu mēnešu laikā pēc attiecināmā laikposma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Piešķirtais atbalsts attiecībā uz tām pašām attiecināmajām izmaksām nevar tikt apvienots ar finansējumu citas atbalsta programmas vai individuālā atbalsta projekta ietvaros, kam finansējums tiek piešķirts no vietējiem, reģionālajiem, valsts vai Eiropas Savienības finanšu līdzekļiem par tām pašām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nosacījums neattiecas uz gadījumu, ja atbalsts tiek kumulēts ar atbalstu, kas piešķirts saskaņā ar normatīvajiem aktiem ierobežotas atbalsta summas veidā, lai mazinātu pret Ukrainu vērstās Krievijas militārās agresijas radītās sekas uz ekonomiku. Atbalsta kumulācijas gadījumā tiek ievērots nosacījums, ka netiek pārsniegta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kopējā atbalsta summa.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sagatavo un līdz 2022. gada 17. novembrim iesniedz birojā iesniegumu, lai pieteiktos atbalstam par noteiktu atbalsta perioda mēnesi, noteiktiem atbalsta perioda mēnešiem vai visiem mēnešiem atbalsta periodā kopā. Komersants iesniegumu iesniedz vienu reizi.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Birojs savā tīmekļvietnē ievieto iesnieguma veidlapas paraugu. Iesniegumā komersants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reģistrācijas numurs, elektroniskā pasta adrese, maksājuma konts, uz kuru pārskaitāms atbalsts, un NACE 2. 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perioda mēnesis vai mēneši, par kuriem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pieprasītā summa un veiktais attiecināmo izmaksu aprēķins;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komersanta energoresursu izmaksas un kopējās saimnieciskās darbības izmaksas 2021.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kopējais elektroenerģijas vai kopējais dabasgāzes patēriņš 2021. gadā megavatstundās (MWh);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cena par vienību un patērēto dabasgāzes un elektroenerģijas daudzumu konkrētā atbalsta mēnesī, ko komersants maksājis attiecināmajā laikposmā;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cena par dabasgāzes un elektroenerģijas vienību, ko komersants maksājis atsauces periodā no 2021. gada 1. janvāra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informācija, kas nepieciešama atbalsta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atbalsta aprēķinā izmantotās attiecināmās izmaksas (elektroenerģijas un dabasgāzes 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apliecinājumu, ka komersanta energoresursu izmaksas par 2021. gadu veido noteiktu summu un tās ir vismaz 3 % no kopējām komersanta saimnieciskās darbības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pārskatu par 2021.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komersants iepriekš nav saņēmis atbalstu, kā arī neplāno pieteikties citam atbalstam par vienām un tām pašām attiecināmajām izmaksām, izņemot atbalstu, kas sniegts saskaņā ar normatīvajiem aktiem ierobežotas atbalsta summas veidā, lai mazinātu pret Ukrainu vērstās Krievijas militārās agresijas radītās sekas uz ekonomiku;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komersants neatbilst nevienai no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pamato atbalsta saņemšanai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Birojs savā tīmekļvietnē un oficiālajā izdevumā "Latvijas Vēstnesis" publicē informāciju par dienu, kad tiek uzsākta iesniegumu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Birojs, pamatojoties uz komersanta iesniegumā norādīto informāciju, pieņem lēmumu un piecu darbdienu laikā pēc lēmuma pieņemšanas izmaksā atbalstu, ieskaitot to iesniegumā norādītajā komersanta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Birojs atbalstu piešķir, ievērojot komersantu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Birojs pieņem lēmumu par atteikumu piešķirt atbalstu, ja komersants neatbilst šajos noteikumos noteiktajām prasībām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ceturtajai daļai.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Birojs izstrādā iekšējo kārtību šo noteikumu piemērošanai un metodiku, kā tiek vērtēta komersanta atbilstība atbalsta saņemšanai, piešķirts atbalsts un tiek veikta komersantu uzraudzība, lai nodrošinātu valsts finansējuma izlietošanu atbilstoši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komersanta atbilstību šajos noteikumos minētajiem kritērijiem visā atbalsta uzraudzības periodā, birojs izlases veidā pārbauda 10 % no to kopējā atbalstu saņēmušo komersantu skaita, kas nav pieprasījuši avansa maksājumu. Ja biroja rīcībā ir informācija par iespējamiem riskiem nelikumīga valsts atbalsta saņemšanā, tas pārbauda komersanta atbilstību šajos noteikumos paredzētajām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Birojs, ja nepieciešams, atbalsta uzraudzības vajadzībām pieprasa Valsts ieņēmumu dienestam šādu informāciju, tostarp norādot komersanta nosaukumu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reģistrētos darbības nozaru NACE 2. red. kodus;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pārskatus par 2021.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gada ienākumu deklarāciju pielikumus D3 un D3</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Sadales un pārvades sistēmu operatori atbalsta uzraudzības vajadzībām pēc biroja pieprasījuma sniedz informāciju par komersanta elektroenerģijas un dabasgāzes patēriņu.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Birojs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lēmumā par atbalsta saderību ar Eiropas Savienības iekšējo tirgu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 piešķirtā atbalsta uzskaiti un informācijas glabāšanu. Minēto informāciju birojs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saraksta publicēšanu savā tīmekļvietnē, kurā norādīti visi komersanti, kas šo noteikumu ietvaros ir saņēmuši atbalstu, un katram komersantam piešķirtā atbalsta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saņēmējs glabā datus par atbalstu, kas saņemts 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 10 gadus no dienas, kad pieņemts lēmums par atbalsta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Atbalstu saņēmušais komersants sniedz birojam visu informāciju par plānoto un piešķirto atbalstu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ministrija, pamatojoties uz biroja sniegto informāciju, iesniedz Eiropas Komisijā ikgadējo pārskatu par sniegto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komersantam lēmuma pieņemšanas brīdī ir pasludināts maksātnespējas process vai tā saimnieciskā darbība ir izbeigta, vai tas atbilst normatīvajos aktos maksātnespējas jomā noteiktajiem kritērijiem, lai tam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netiek sniegts šādām neatbalstāmām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alkohola tirdzniecībai (NACE 2. red. koda grupa 11.01 "Spirtu destilēšana, rektificēšana un maisīšana", 46.34 "Dzērienu vairumtirdzniecība" un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ieroču un munīcijas tirdzniecībai (NACE 2. red. koda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koda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koda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kredītiestādēm vai citām finanšu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 koda K sadaļa "Finanšu un apdrošināšanas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nozarēm un darbībām, kas nav iekļautas šo noteikumu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komersants, kuram atbalstu piešķir saskaņā ar šiem noteikumiem, vienlaikus darbojas vienā vai vairākās atbalstāmajās nozarēs un izslēgtajās nozarēs vai veic neatbalstāmas darbības, tas nodrošina darbību vai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komersantam ir pienākums atmaksāt valsts budžetā visu saņemto nelikumīgo valsts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atbalsta piešķiršanas brīdi tiek uzskatīta diena, kurā birojs pieņēmis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sniedz līdz 2022.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Birojs pieņem lēmumu un izmaksā atbalstu tikai pēc tam, kad Eiropas Komisija pieņēmusi lēmumu par atbalsta saderību ar Eiropas Savienības iekšējo tirgu.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šajos noteikumos ietvertā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Ekonomikas ministrija pēc tam, kad Eiropas Komisija pieņēmusi lēmumu par šajos noteikumos ietvertā atbalsta saderību ar Eiropas Savienības iekšējo tirgu,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22-TA-3115</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22-TA-3115</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noteikumu_konsolidētā_versija_22-TA-3115.docx</dc:title>
</cp:coreProperties>
</file>

<file path=docProps/custom.xml><?xml version="1.0" encoding="utf-8"?>
<Properties xmlns="http://schemas.openxmlformats.org/officeDocument/2006/custom-properties" xmlns:vt="http://schemas.openxmlformats.org/officeDocument/2006/docPropsVTypes"/>
</file>