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valsts uzraudzības un kontroles darbībām kautuvēs, kaušanai paredzēto dzīvnieku novietnēs un medījamo dzīvnieku gaļas pārstrādes uzņēmumos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9"/>
        <w:gridCol w:w="3964"/>
        <w:gridCol w:w="2393"/>
        <w:gridCol w:w="2313"/>
        <w:tblGridChange w:id="0">
          <w:tblGrid>
            <w:gridCol w:w="369"/>
            <w:gridCol w:w="3964"/>
            <w:gridCol w:w="2393"/>
            <w:gridCol w:w="23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1, 2, 3, 4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2. punktā minēto gadījumu: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 ģints</w:t>
            </w:r>
            <w:r w:rsidR="00000000" w:rsidRPr="00000000" w:rsidDel="00000000">
              <w:rPr>
                <w:rtl w:val="0"/>
              </w:rPr>
              <w:t xml:space="preserve">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1. punktā vai regulas Nr. 2017/625 IV pielikuma II nodaļas III daļā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Pievienotās vērtības nodokļa likuma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Maksa ietver trihinelozes diagnostiku kautuves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Kontroles izmaksas daļēji tiek segtas normatīvajos aktos par ikgadējo valsts atbalstu lauksaimniecībai un tā piešķiršanas kārtību noteiktajā atbalsta pasākumā "Atbalsts veterinārās ekspertīzes izmaksu daļējai segšanai".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Aprēķinot izmaksas, papildus noteiktajai maksai aprēķina maksu par darbu ārpus paziņotā darbalaika, svētku dienās un nakts stundās atbilstoši darba tiesiskās attiecības regulējošajos normatīvajos aktos noteiktajam."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