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likumā “Par valsts sociālo apdrošināšanu”"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likumprojektu iesniegšanai Saeimā.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atbildīgais par likumprojekta turpmāko virzību Saeimā ir labklājības ministrs.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Atbalstīt Labklājības ministrijas priekšlikumu 2023. gadā veikt līdzekļu pārdali no Labklājības ministrijas pamatbudžeta apakšprogrammas 97.02.00 "Nozares centralizēto funkciju izpilde", tās ietvaros veicot pārdali starp izdevumu kodiem atbilstoši ekonomiskajām kategorijām, valsts budžeta izpildes procesā veikto valsts pamatbudžeta savstarpējo transfertu izmantošanai 15 392 </w:t>
      </w:r>
      <w:r w:rsidR="00000000" w:rsidRPr="00000000" w:rsidDel="00000000">
        <w:rPr>
          <w:i w:val="1"/>
          <w:rtl w:val="0"/>
        </w:rPr>
        <w:t xml:space="preserve">euro</w:t>
      </w:r>
      <w:r w:rsidR="00000000" w:rsidRPr="00000000" w:rsidDel="00000000">
        <w:rPr>
          <w:rtl w:val="0"/>
        </w:rPr>
        <w:t xml:space="preserve"> apmērā uz Finanšu ministrijas pamatbudžeta programmu 33.00.00 "Valsts ieņēmumu un muitas politikas nodrošināšana", lai Valsts ieņēmumu dienests nodrošinātu IT sistēmas pielāgošanu likumprojektā ietverto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Labklājības ministrijai un Finanšu ministrijai normatīvajos aktos noteiktā kārtībā sagatavot un iesniegt Finanšu ministrijā pieprasījumu par šī protokollēmuma 4. punktā minēto līdzekļu pārdali.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22-TA-2326</w:t>
    </w:r>
    <w:r>
      <w:br/>
    </w:r>
    <w:r w:rsidR="00000000" w:rsidRPr="00000000" w:rsidDel="00000000">
      <w:rPr>
        <w:rtl w:val="0"/>
      </w:rPr>
      <w:t xml:space="preserve">Izdrukāts 29.07.2026. 21.57 - 2.0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mk_sēdes_protokollēmuma_projekts_22-TA-2326.docx</dc:title>
</cp:coreProperties>
</file>

<file path=docProps/custom.xml><?xml version="1.0" encoding="utf-8"?>
<Properties xmlns="http://schemas.openxmlformats.org/officeDocument/2006/custom-properties" xmlns:vt="http://schemas.openxmlformats.org/officeDocument/2006/docPropsVTypes"/>
</file>