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2024, 38., 110., 120.A, 128.A, 193., 196.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59.</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62. panta devīto daļu ar 4. un 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kredītiestādes uzņēmuma ieguvējam un potenciālajam ieguvējam uzņēmuma pārejas priekšlikuma izvērtēšanai;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ienākumus nenesošu kreditēšanas līgumu portfeļa potenciālajam ieguvējam (kredītu pircējam) vai tā pārstāvim, ciktāl tas ir nepieciešams, lai nodotu (pārdotu) ziņas par ienākumus nenesošo kreditēšanas līgumu portfeli."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"ziņas par kredītiestādes klientu kontiem vai klientiem sniegtajiem finanšu pakalpojumiem" ar vārdiem "kā arī ziņas par kredītiestādes kreditoriem, debitoriem vai citām personām, ar kurām noslēgtie līgumi veido nododamo kredītiestādes uzņēmumu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"kredītiestādes uzņēmuma potenciālā ieguvēja pārstāvim".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24-TA-3176</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24-TA-3176</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likumprojekts_(grozījumi)_24-TA-3176.docx</dc:title>
</cp:coreProperties>
</file>

<file path=docProps/custom.xml><?xml version="1.0" encoding="utf-8"?>
<Properties xmlns="http://schemas.openxmlformats.org/officeDocument/2006/custom-properties" xmlns:vt="http://schemas.openxmlformats.org/officeDocument/2006/docPropsVTypes"/>
</file>